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40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Жеке тұлғалар – ЖК/ШҚ/ФҚ үшін қаржыландыруға арналған жобаны қарау үшін «Экспресс-лизинг» қызметін іске асыру бойынша қажетті құжаттар</w:t>
      </w:r>
    </w:p>
    <w:p w:rsidR="00000000" w:rsidDel="00000000" w:rsidP="00000000" w:rsidRDefault="00000000" w:rsidRPr="00000000" w14:paraId="00000002">
      <w:pPr>
        <w:spacing w:after="0" w:line="240" w:lineRule="auto"/>
        <w:ind w:firstLine="4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ind w:left="426" w:right="423" w:firstLine="399.9999999999999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Қаржыландыру алу мақсатында Қоғамға жүгінген кезде Өтінішкер мынадай құжаттардың нысандарын толтырады, уәкілетті тұлғаға қол қойғызады және мөрмен куәландырады: </w:t>
      </w:r>
    </w:p>
    <w:p w:rsidR="00000000" w:rsidDel="00000000" w:rsidP="00000000" w:rsidRDefault="00000000" w:rsidRPr="00000000" w14:paraId="00000004">
      <w:pPr>
        <w:tabs>
          <w:tab w:val="left" w:leader="none" w:pos="709"/>
        </w:tabs>
        <w:spacing w:after="0" w:line="240" w:lineRule="auto"/>
        <w:ind w:left="567" w:right="423" w:firstLine="142.0000000000000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«Экспресс-лизинг» көрсетілетін арнайы қаржыландыру қызметін іске асыру жөніндегі нұсқаулықтың № 2-қосымшасына сәйкес Өтініш нысанын, </w:t>
      </w:r>
    </w:p>
    <w:p w:rsidR="00000000" w:rsidDel="00000000" w:rsidP="00000000" w:rsidRDefault="00000000" w:rsidRPr="00000000" w14:paraId="00000005">
      <w:pPr>
        <w:tabs>
          <w:tab w:val="left" w:leader="none" w:pos="709"/>
        </w:tabs>
        <w:spacing w:after="0" w:line="240" w:lineRule="auto"/>
        <w:ind w:left="567" w:right="423" w:firstLine="142.0000000000000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«Экспресс-лизинг» көрсетілетін арнайы қаржыландыру қызметін іске асыру жөніндегі нұсқаулықтың № 3-қосымшасына сәйкес өтінішкердің Сауалнамасы нысанын, </w:t>
      </w:r>
    </w:p>
    <w:p w:rsidR="00000000" w:rsidDel="00000000" w:rsidP="00000000" w:rsidRDefault="00000000" w:rsidRPr="00000000" w14:paraId="00000006">
      <w:pPr>
        <w:spacing w:after="0" w:line="240" w:lineRule="auto"/>
        <w:ind w:left="426" w:right="423" w:firstLine="399.9999999999999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«Экспресс-лизинг» көрсетілетін арнайы қаржыландыру қызметін іске асыру жөніндегі нұсқаулықтың № 4-1-қосымшаларына сәйкес жеке/заңды тұлғаның кредиттік тарих субъектісінің ол туралы ақпаратты кредиттік бюроларға беруге және кредиттік бюродан кредиттік есепті беруге келісімі.</w:t>
      </w:r>
    </w:p>
    <w:p w:rsidR="00000000" w:rsidDel="00000000" w:rsidP="00000000" w:rsidRDefault="00000000" w:rsidRPr="00000000" w14:paraId="00000007">
      <w:pPr>
        <w:spacing w:after="0" w:line="240" w:lineRule="auto"/>
        <w:ind w:left="426" w:right="423" w:firstLine="424.9999999999999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Көрсетілген құжаттармен бірге Өтінішкер Қоғамға келесі құжаттардың пакетін ұсынады:</w:t>
      </w:r>
    </w:p>
    <w:tbl>
      <w:tblPr>
        <w:tblStyle w:val="Table1"/>
        <w:tblW w:w="10631.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8363"/>
        <w:gridCol w:w="1560"/>
        <w:tblGridChange w:id="0">
          <w:tblGrid>
            <w:gridCol w:w="708"/>
            <w:gridCol w:w="8363"/>
            <w:gridCol w:w="1560"/>
          </w:tblGrid>
        </w:tblGridChange>
      </w:tblGrid>
      <w:tr>
        <w:trPr>
          <w:cantSplit w:val="0"/>
          <w:trHeight w:val="331" w:hRule="atLeast"/>
          <w:tblHeader w:val="0"/>
        </w:trPr>
        <w:tc>
          <w:tcPr>
            <w:gridSpan w:val="3"/>
            <w:shd w:fill="ffffff" w:val="clear"/>
            <w:vAlign w:val="bottom"/>
          </w:tcPr>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Жеке тұлғаларға – ЖК/ШҚ/ФҚ арналған құжаттар тізбесі </w:t>
            </w:r>
          </w:p>
        </w:tc>
      </w:tr>
      <w:tr>
        <w:trPr>
          <w:cantSplit w:val="0"/>
          <w:trHeight w:val="984" w:hRule="atLeast"/>
          <w:tblHeader w:val="0"/>
        </w:trPr>
        <w:tc>
          <w:tcPr>
            <w:shd w:fill="ffffff" w:val="clear"/>
          </w:tcPr>
          <w:p w:rsidR="00000000" w:rsidDel="00000000" w:rsidP="00000000" w:rsidRDefault="00000000" w:rsidRPr="00000000" w14:paraId="0000000B">
            <w:pPr>
              <w:tabs>
                <w:tab w:val="left" w:leader="none" w:pos="34"/>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ffffff" w:val="clear"/>
          </w:tcPr>
          <w:p w:rsidR="00000000" w:rsidDel="00000000" w:rsidP="00000000" w:rsidRDefault="00000000" w:rsidRPr="00000000" w14:paraId="0000000C">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Жеке кәсіпкерлер ретінде тіркелген жеке тұлғалар үшін уәкілетті мемлекеттік органның растамасы. </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Уәкілетті мемлекеттік орган берген ШҚ/ФҚ мүшелерінің құрамы туралы мәліметтер;</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Егер ФҚ жай серіктестік нысанында құрылған болса</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0F">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00000"/>
                <w:rtl w:val="0"/>
              </w:rPr>
              <w:t xml:space="preserve">- бірлескен қызмет туралы шарт; </w:t>
            </w:r>
            <w:r w:rsidDel="00000000" w:rsidR="00000000" w:rsidRPr="00000000">
              <w:rPr>
                <w:rtl w:val="0"/>
              </w:rPr>
            </w:r>
          </w:p>
          <w:p w:rsidR="00000000" w:rsidDel="00000000" w:rsidP="00000000" w:rsidRDefault="00000000" w:rsidRPr="00000000" w14:paraId="00000010">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жай серіктестік өкілінің ЖС нысанындағы ФҚ мүшелерінің атынан әрекет ету өкілеттігін растайтын құжат.</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tc>
        <w:tc>
          <w:tcPr/>
          <w:p w:rsidR="00000000" w:rsidDel="00000000" w:rsidP="00000000" w:rsidRDefault="00000000" w:rsidRPr="00000000" w14:paraId="00000011">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Көшірме</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немесе электрондық көшірме</w:t>
            </w:r>
            <w:r w:rsidDel="00000000" w:rsidR="00000000" w:rsidRPr="00000000">
              <w:rPr>
                <w:rtl w:val="0"/>
              </w:rPr>
            </w:r>
          </w:p>
        </w:tc>
      </w:tr>
      <w:tr>
        <w:trPr>
          <w:cantSplit w:val="0"/>
          <w:trHeight w:val="798" w:hRule="atLeast"/>
          <w:tblHeader w:val="0"/>
        </w:trPr>
        <w:tc>
          <w:tcPr>
            <w:shd w:fill="ffffff" w:val="clear"/>
          </w:tcPr>
          <w:p w:rsidR="00000000" w:rsidDel="00000000" w:rsidP="00000000" w:rsidRDefault="00000000" w:rsidRPr="00000000" w14:paraId="00000012">
            <w:pPr>
              <w:tabs>
                <w:tab w:val="left" w:leader="none" w:pos="34"/>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ffffff" w:val="clear"/>
          </w:tcPr>
          <w:p w:rsidR="00000000" w:rsidDel="00000000" w:rsidP="00000000" w:rsidRDefault="00000000" w:rsidRPr="00000000" w14:paraId="0000001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ШҚ/ФҰ басшысының (жеке кәсіпкердің) жеке тұлғасын куәландыратын құжат </w:t>
            </w:r>
          </w:p>
          <w:p w:rsidR="00000000" w:rsidDel="00000000" w:rsidP="00000000" w:rsidRDefault="00000000" w:rsidRPr="00000000" w14:paraId="00000014">
            <w:pPr>
              <w:ind w:left="5"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егер ШҚ/ФҚ бірлескен кәсіпкерлік нысанында құрылған жағдайда, ұосымша ұсынылады</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15">
            <w:pPr>
              <w:ind w:left="5" w:firstLine="0"/>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ШҚ/ФҚ басшысының сайлануын/тағайындалуын растайтын құжат</w:t>
            </w:r>
            <w:r w:rsidDel="00000000" w:rsidR="00000000" w:rsidRPr="00000000">
              <w:rPr>
                <w:rFonts w:ascii="Times New Roman" w:cs="Times New Roman" w:eastAsia="Times New Roman" w:hAnsi="Times New Roman"/>
                <w:i w:val="1"/>
                <w:u w:val="single"/>
                <w:rtl w:val="0"/>
              </w:rPr>
              <w:t xml:space="preserve"> </w:t>
            </w:r>
          </w:p>
        </w:tc>
        <w:tc>
          <w:tcPr/>
          <w:p w:rsidR="00000000" w:rsidDel="00000000" w:rsidP="00000000" w:rsidRDefault="00000000" w:rsidRPr="00000000" w14:paraId="00000016">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Көшірме</w:t>
            </w:r>
            <w:r w:rsidDel="00000000" w:rsidR="00000000" w:rsidRPr="00000000">
              <w:rPr>
                <w:rFonts w:ascii="Times New Roman" w:cs="Times New Roman" w:eastAsia="Times New Roman" w:hAnsi="Times New Roman"/>
                <w:color w:val="000000"/>
                <w:vertAlign w:val="superscript"/>
                <w:rtl w:val="0"/>
              </w:rPr>
              <w:t xml:space="preserve">1,2</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немесе электрондықкөшірме</w:t>
            </w:r>
            <w:r w:rsidDel="00000000" w:rsidR="00000000" w:rsidRPr="00000000">
              <w:rPr>
                <w:rtl w:val="0"/>
              </w:rPr>
            </w:r>
          </w:p>
        </w:tc>
      </w:tr>
      <w:tr>
        <w:trPr>
          <w:cantSplit w:val="0"/>
          <w:trHeight w:val="798" w:hRule="atLeast"/>
          <w:tblHeader w:val="0"/>
        </w:trPr>
        <w:tc>
          <w:tcPr>
            <w:shd w:fill="ffffff" w:val="clear"/>
          </w:tcPr>
          <w:p w:rsidR="00000000" w:rsidDel="00000000" w:rsidP="00000000" w:rsidRDefault="00000000" w:rsidRPr="00000000" w14:paraId="00000017">
            <w:pPr>
              <w:tabs>
                <w:tab w:val="left" w:leader="none" w:pos="34"/>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ffffff" w:val="clear"/>
          </w:tcPr>
          <w:p w:rsidR="00000000" w:rsidDel="00000000" w:rsidP="00000000" w:rsidRDefault="00000000" w:rsidRPr="00000000" w14:paraId="0000001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Қолданыстағы салық режиміне байланысты соңғы есепті кезеңдегі салық есептілігі (декларация/патент)</w:t>
            </w:r>
          </w:p>
        </w:tc>
        <w:tc>
          <w:tcPr/>
          <w:p w:rsidR="00000000" w:rsidDel="00000000" w:rsidP="00000000" w:rsidRDefault="00000000" w:rsidRPr="00000000" w14:paraId="00000019">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Электрондық/қағаз көшірме</w:t>
            </w:r>
          </w:p>
          <w:p w:rsidR="00000000" w:rsidDel="00000000" w:rsidP="00000000" w:rsidRDefault="00000000" w:rsidRPr="00000000" w14:paraId="0000001A">
            <w:pPr>
              <w:widowControl w:val="0"/>
              <w:jc w:val="both"/>
              <w:rPr>
                <w:rFonts w:ascii="Times New Roman" w:cs="Times New Roman" w:eastAsia="Times New Roman" w:hAnsi="Times New Roman"/>
                <w:color w:val="000000"/>
              </w:rPr>
            </w:pPr>
            <w:r w:rsidDel="00000000" w:rsidR="00000000" w:rsidRPr="00000000">
              <w:rPr>
                <w:rtl w:val="0"/>
              </w:rPr>
            </w:r>
          </w:p>
        </w:tc>
      </w:tr>
      <w:tr>
        <w:trPr>
          <w:cantSplit w:val="0"/>
          <w:trHeight w:val="20" w:hRule="atLeast"/>
          <w:tblHeader w:val="0"/>
        </w:trPr>
        <w:tc>
          <w:tcPr>
            <w:gridSpan w:val="3"/>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Төменде көрсетілген тиісті фактілертуындаған жағдайда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мынадай құжаттар ұсынылады:</w:t>
            </w:r>
          </w:p>
        </w:tc>
      </w:tr>
      <w:tr>
        <w:trPr>
          <w:cantSplit w:val="0"/>
          <w:trHeight w:val="20" w:hRule="atLeast"/>
          <w:tblHeader w:val="0"/>
        </w:trPr>
        <w:tc>
          <w:tcPr/>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4"/>
                <w:tab w:val="left" w:leader="none" w:pos="360"/>
              </w:tabs>
              <w:spacing w:after="200" w:before="0" w:line="276" w:lineRule="auto"/>
              <w:ind w:left="2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0">
            <w:pPr>
              <w:widowControl w:val="0"/>
              <w:ind w:left="63"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Егер жоба жер телімдерінің міндетті түрде болуын болжаса:</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6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Өтінішкердің кәсіпкерлік қызметіне тартылған жер телімдеріне арналған құқық белгілейтін және сәйкестендіру құжаттары – қағаздағы немесе электрондық көшірмелер;</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6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 жер телімдеріне тіркелген құқықтар мен ауыртпалықтар туралы анықтамалар (заңдық сараптама үшін) – электрондық көшірмелер;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6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ауыл шаруашылығы дақылдарының түсімін жинау туралы № 29 (соңғы 3 жылдағы), № 4 АШ - себілген егіннің қорытындысы туралы есеп (соңғы 1 жылдағы) статистикалық нысандарының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көшірмелері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немесе ұқсас кезеңге ауыл  шаруашылығы, статистика бөлімі немесе ауылдық округ Әкімі берген шығымдылық туралы анықтаманың түпнұсқасы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(заңды тұлғалар үшін)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6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Ағымдағы жылғы ауыл шаруашылығы дақылдарының түсімін жинау туралы - № 29 статистикалық нысанды ұсынған немесе Лизинг алушы ағымдағы жылғы 1 тамызға дейін өтініш берген жағдайда,</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онда №4 АШ анықтамасы сұратылмайды;</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0" w:before="0" w:line="276" w:lineRule="auto"/>
              <w:ind w:left="6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 А-005 сауалнамасының түпнұсқасы немесе немесе ауыл шаруашылығы, статистика бөлімі немесе ауылдық округ әкімі берген соңғы 3 жылдағы егістің шығымдылығы мен егіс алаңы туралы анықтама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(жеке тұлғалар үшін).</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200" w:before="0" w:line="276" w:lineRule="auto"/>
              <w:ind w:left="63"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Өтінішкер 5 (бес) жыл ішінде қаржыландыруға қайтадан өтініш берген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t>
            </w:r>
          </w:p>
        </w:tc>
        <w:tc>
          <w:tcPr/>
          <w:p w:rsidR="00000000" w:rsidDel="00000000" w:rsidP="00000000" w:rsidRDefault="00000000" w:rsidRPr="00000000" w14:paraId="00000027">
            <w:pPr>
              <w:widowControl w:val="0"/>
              <w:jc w:val="both"/>
              <w:rPr>
                <w:rFonts w:ascii="Times New Roman" w:cs="Times New Roman" w:eastAsia="Times New Roman" w:hAnsi="Times New Roman"/>
                <w:color w:val="00000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8">
            <w:pPr>
              <w:tabs>
                <w:tab w:val="left" w:leader="none" w:pos="0"/>
                <w:tab w:val="left" w:leader="none" w:pos="34"/>
                <w:tab w:val="left" w:leader="none" w:pos="318"/>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p w:rsidR="00000000" w:rsidDel="00000000" w:rsidP="00000000" w:rsidRDefault="00000000" w:rsidRPr="00000000" w14:paraId="00000029">
            <w:pPr>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Егер Өтінішкердің негізгі қызмет түрі мал шаруашылығы болып табылса:</w:t>
            </w:r>
          </w:p>
          <w:p w:rsidR="00000000" w:rsidDel="00000000" w:rsidP="00000000" w:rsidRDefault="00000000" w:rsidRPr="00000000" w14:paraId="0000002A">
            <w:pPr>
              <w:ind w:left="6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шаруашылықтың ветеринариялық-санитариялық амандығы туралы аудандық ветеринариялық инспектордың анықтамалары. Асыл тұқымды мал басы қозғалысының технологиялық карталары (24-АШ нысаны) немесе тіркелген жануардың ақпаратынан үзінді көшірменің түпнұсқасы немесе өтініш беру күніне дейін 2 (екі) айдан ерте емес даталанған, соңғы есепті кезеңдегі жыныстық-жас топтары бөлінісінде ағымдағы мал басы туралы уәкілетті мемлекеттік орган берген анықтама. </w:t>
            </w:r>
          </w:p>
        </w:tc>
        <w:tc>
          <w:tcPr/>
          <w:p w:rsidR="00000000" w:rsidDel="00000000" w:rsidP="00000000" w:rsidRDefault="00000000" w:rsidRPr="00000000" w14:paraId="0000002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көшірме</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немесе түпнұсқадан электрондық көшірме</w:t>
            </w:r>
          </w:p>
        </w:tc>
      </w:tr>
      <w:tr>
        <w:trPr>
          <w:cantSplit w:val="0"/>
          <w:trHeight w:val="20" w:hRule="atLeast"/>
          <w:tblHeader w:val="0"/>
        </w:trPr>
        <w:tc>
          <w:tcPr/>
          <w:p w:rsidR="00000000" w:rsidDel="00000000" w:rsidP="00000000" w:rsidRDefault="00000000" w:rsidRPr="00000000" w14:paraId="0000002C">
            <w:pPr>
              <w:tabs>
                <w:tab w:val="left" w:leader="none" w:pos="0"/>
                <w:tab w:val="left" w:leader="none" w:pos="34"/>
                <w:tab w:val="left" w:leader="none" w:pos="318"/>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02D">
            <w:pPr>
              <w:tabs>
                <w:tab w:val="left" w:leader="none" w:pos="367"/>
                <w:tab w:val="left" w:leader="none" w:pos="914"/>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rtl w:val="0"/>
              </w:rPr>
              <w:t xml:space="preserve">Өтінішкерде мынадай шарттардың біреуіне немесе бірнешеуіне жауап беретін (өсімдік шаруашылығы және ет бағытындағы мал шаруашылығы саласындағы АӨК субъектісі болып табылатын) үлестес тұлғалар болған кезде</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E">
            <w:pPr>
              <w:tabs>
                <w:tab w:val="left" w:leader="none" w:pos="367"/>
                <w:tab w:val="left" w:leader="none" w:pos="914"/>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Өтінішкердің міндеттемелері бойынша Кепіл беруші/Кепілгер/Кепілдеме беруші ретінде әрекет етеді және/немесе Өтінішкер үлестес тұлғалардың міндеттемелері бойынша Кепіл беруші/Кепілгер/Кепілдеме беруші ретінде әрекет етеді; </w:t>
            </w:r>
          </w:p>
          <w:p w:rsidR="00000000" w:rsidDel="00000000" w:rsidP="00000000" w:rsidRDefault="00000000" w:rsidRPr="00000000" w14:paraId="0000002F">
            <w:pPr>
              <w:tabs>
                <w:tab w:val="left" w:leader="none" w:pos="367"/>
                <w:tab w:val="left" w:leader="none" w:pos="914"/>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Өтінішкермен бірге бір өндірістік процеске қатысады;</w:t>
            </w:r>
          </w:p>
          <w:p w:rsidR="00000000" w:rsidDel="00000000" w:rsidP="00000000" w:rsidRDefault="00000000" w:rsidRPr="00000000" w14:paraId="00000030">
            <w:pPr>
              <w:tabs>
                <w:tab w:val="left" w:leader="none" w:pos="367"/>
                <w:tab w:val="left" w:leader="none" w:pos="914"/>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Қоғамның қолданыстағы қарыз алушылары,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7"/>
                <w:tab w:val="left" w:leader="none" w:pos="91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бұл үлестес тұлғалар бойынша кредиттік бюроға келісімдер, 2.4. -тармақта көзделген құжаттар ұсынылады, сондай-ақ байланысты қарыз алушылар тобы бойынша қаржылық жағдайға талдау жүргізіледі.</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32">
            <w:pPr>
              <w:jc w:val="both"/>
              <w:rPr>
                <w:rFonts w:ascii="Times New Roman" w:cs="Times New Roman" w:eastAsia="Times New Roman" w:hAnsi="Times New Roman"/>
                <w:color w:val="00000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33">
            <w:pPr>
              <w:tabs>
                <w:tab w:val="left" w:leader="none" w:pos="34"/>
              </w:tabs>
              <w:ind w:left="3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p w:rsidR="00000000" w:rsidDel="00000000" w:rsidP="00000000" w:rsidRDefault="00000000" w:rsidRPr="00000000" w14:paraId="00000034">
            <w:pPr>
              <w:ind w:left="63"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Өтінішкердің басқа қаржылық ұйымдарда міндеттемелері болған жағдайда, мынадай құжаттар ұсынылады:</w:t>
            </w:r>
          </w:p>
          <w:p w:rsidR="00000000" w:rsidDel="00000000" w:rsidP="00000000" w:rsidRDefault="00000000" w:rsidRPr="00000000" w14:paraId="00000035">
            <w:pPr>
              <w:ind w:left="6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қаржылық ұйымнан несие берешегінің қалдығы туралы анықтама (өтініш берілген күнге дейін 1 (бір) айдан ерте емес күні көрсетілген;</w:t>
            </w:r>
          </w:p>
          <w:p w:rsidR="00000000" w:rsidDel="00000000" w:rsidP="00000000" w:rsidRDefault="00000000" w:rsidRPr="00000000" w14:paraId="00000036">
            <w:pPr>
              <w:ind w:left="63" w:firstLine="0"/>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color w:val="000000"/>
                <w:rtl w:val="0"/>
              </w:rPr>
              <w:t xml:space="preserve">- берешекті өтеудің өзекті кестелері.</w:t>
            </w:r>
            <w:r w:rsidDel="00000000" w:rsidR="00000000" w:rsidRPr="00000000">
              <w:rPr>
                <w:rtl w:val="0"/>
              </w:rPr>
            </w:r>
          </w:p>
        </w:tc>
        <w:tc>
          <w:tcPr/>
          <w:p w:rsidR="00000000" w:rsidDel="00000000" w:rsidP="00000000" w:rsidRDefault="00000000" w:rsidRPr="00000000" w14:paraId="00000037">
            <w:pPr>
              <w:widowControl w:val="0"/>
              <w:jc w:val="both"/>
              <w:rPr>
                <w:rFonts w:ascii="Times New Roman" w:cs="Times New Roman" w:eastAsia="Times New Roman" w:hAnsi="Times New Roman"/>
              </w:rPr>
            </w:pPr>
            <w:r w:rsidDel="00000000" w:rsidR="00000000" w:rsidRPr="00000000">
              <w:rPr>
                <w:rtl w:val="0"/>
              </w:rPr>
            </w:r>
          </w:p>
        </w:tc>
      </w:tr>
      <w:tr>
        <w:trPr>
          <w:cantSplit w:val="0"/>
          <w:trHeight w:val="483" w:hRule="atLeast"/>
          <w:tblHeader w:val="0"/>
        </w:trPr>
        <w:tc>
          <w:tcPr>
            <w:tcBorders>
              <w:bottom w:color="000000" w:space="0" w:sz="4" w:val="single"/>
            </w:tcBorders>
          </w:tcPr>
          <w:p w:rsidR="00000000" w:rsidDel="00000000" w:rsidP="00000000" w:rsidRDefault="00000000" w:rsidRPr="00000000" w14:paraId="00000038">
            <w:pPr>
              <w:tabs>
                <w:tab w:val="left" w:leader="none" w:pos="367"/>
              </w:tabs>
              <w:jc w:val="both"/>
              <w:rPr>
                <w:rFonts w:ascii="Times New Roman" w:cs="Times New Roman" w:eastAsia="Times New Roman" w:hAnsi="Times New Roman"/>
                <w:b w:val="1"/>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39">
            <w:pPr>
              <w:tabs>
                <w:tab w:val="left" w:leader="none" w:pos="367"/>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superscript"/>
                <w:rtl w:val="0"/>
              </w:rPr>
              <w:t xml:space="preserve">1,2</w:t>
            </w:r>
            <w:r w:rsidDel="00000000" w:rsidR="00000000" w:rsidRPr="00000000">
              <w:rPr>
                <w:rFonts w:ascii="Times New Roman" w:cs="Times New Roman" w:eastAsia="Times New Roman" w:hAnsi="Times New Roman"/>
                <w:rtl w:val="0"/>
              </w:rPr>
              <w:t xml:space="preserve">осы тізбеде көрсетілген тиісті құжаттардың көшірмелері түпнұсқалардың белгіленген нысанына сәйкес келуге тиіс және қажет болған жағдайда, </w:t>
            </w:r>
            <w:r w:rsidDel="00000000" w:rsidR="00000000" w:rsidRPr="00000000">
              <w:rPr>
                <w:rFonts w:ascii="Times New Roman" w:cs="Times New Roman" w:eastAsia="Times New Roman" w:hAnsi="Times New Roman"/>
                <w:b w:val="1"/>
                <w:rtl w:val="0"/>
              </w:rPr>
              <w:t xml:space="preserve">«Түпнұсқамен салыстырылды. Көшірмесі дұрыс. _________ кредит менеджерінің лауазымы көрсетіле отырып, жазумен Т.А.Ә., қолы ___________.» </w:t>
            </w:r>
            <w:r w:rsidDel="00000000" w:rsidR="00000000" w:rsidRPr="00000000">
              <w:rPr>
                <w:rFonts w:ascii="Times New Roman" w:cs="Times New Roman" w:eastAsia="Times New Roman" w:hAnsi="Times New Roman"/>
                <w:rtl w:val="0"/>
              </w:rPr>
              <w:t xml:space="preserve">деген жазу жазып, көшірмені куәландыруға тиіс жобаның кредит менеджері көшірмені салыстырып тексеруі және растауы мүмкін. </w:t>
            </w:r>
            <w:r w:rsidDel="00000000" w:rsidR="00000000" w:rsidRPr="00000000">
              <w:rPr>
                <w:rtl w:val="0"/>
              </w:rPr>
            </w:r>
          </w:p>
          <w:p w:rsidR="00000000" w:rsidDel="00000000" w:rsidP="00000000" w:rsidRDefault="00000000" w:rsidRPr="00000000" w14:paraId="0000003A">
            <w:pPr>
              <w:tabs>
                <w:tab w:val="left" w:leader="none" w:pos="3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Оң қаралған кезде (мәмілені ресімдеу/жасасу сатысында) ұсынылатын құжаттардың нотариалды куәландырылған көшірмелері талап етілуі мүмкін.</w:t>
            </w:r>
          </w:p>
        </w:tc>
      </w:tr>
      <w:tr>
        <w:trPr>
          <w:cantSplit w:val="0"/>
          <w:trHeight w:val="918" w:hRule="atLeast"/>
          <w:tblHeader w:val="0"/>
        </w:trPr>
        <w:tc>
          <w:tcPr>
            <w:tcBorders>
              <w:bottom w:color="000000" w:space="0" w:sz="4" w:val="single"/>
            </w:tcBorders>
          </w:tcPr>
          <w:p w:rsidR="00000000" w:rsidDel="00000000" w:rsidP="00000000" w:rsidRDefault="00000000" w:rsidRPr="00000000" w14:paraId="0000003C">
            <w:pPr>
              <w:tabs>
                <w:tab w:val="left" w:leader="none" w:pos="367"/>
              </w:tabs>
              <w:jc w:val="both"/>
              <w:rPr>
                <w:rFonts w:ascii="Times New Roman" w:cs="Times New Roman" w:eastAsia="Times New Roman" w:hAnsi="Times New Roman"/>
                <w:b w:val="1"/>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3D">
            <w:pPr>
              <w:tabs>
                <w:tab w:val="left" w:leader="none" w:pos="367"/>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Назар аударыңыз! Өтінішкерлердің назарына:</w:t>
            </w:r>
          </w:p>
          <w:p w:rsidR="00000000" w:rsidDel="00000000" w:rsidP="00000000" w:rsidRDefault="00000000" w:rsidRPr="00000000" w14:paraId="0000003E">
            <w:pPr>
              <w:tabs>
                <w:tab w:val="left" w:leader="none" w:pos="3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Толық көлемде ұсынылмаған және талаптарға сәйкес келмейтін, күмәнді ақпаратты қамтитын, оның ішінде ұқыпсыз ресімделген (қол қойылмаған, мөрлерсіз және т. б.) құжаттардың пакеттері қарауға қабылданбайды.</w:t>
            </w:r>
          </w:p>
          <w:p w:rsidR="00000000" w:rsidDel="00000000" w:rsidP="00000000" w:rsidRDefault="00000000" w:rsidRPr="00000000" w14:paraId="0000003F">
            <w:pPr>
              <w:tabs>
                <w:tab w:val="left" w:leader="none" w:pos="367"/>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Бұл құжаттар тізбесі түпкілікті болып табылмайды және қажет болған жағдайда, «ҚазАгроҚаржы» АҚ Өтінішкердің кредит төлеу қабілеттілігін, құқықтық мәртебесін және Өнім берушімен жұмыс істеу мүмкіндігін бағалау үшін қажетті қандай да бір қосымша құжаттарды сұратып алу құқығын өзіне қалдырады.</w:t>
            </w: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ff0000"/>
          <w:sz w:val="28"/>
          <w:szCs w:val="28"/>
          <w:u w:val="none"/>
          <w:shd w:fill="auto" w:val="clear"/>
          <w:vertAlign w:val="baseline"/>
        </w:rPr>
      </w:pPr>
      <w:bookmarkStart w:colFirst="0" w:colLast="0" w:name="_heading=h.gjdgxs" w:id="0"/>
      <w:bookmarkEnd w:id="0"/>
      <w:r w:rsidDel="00000000" w:rsidR="00000000" w:rsidRPr="00000000">
        <w:rPr>
          <w:rtl w:val="0"/>
        </w:rPr>
      </w:r>
    </w:p>
    <w:sectPr>
      <w:pgSz w:h="16838" w:w="11906" w:orient="portrait"/>
      <w:pgMar w:bottom="425" w:top="822" w:left="284"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6909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FF0D18"/>
    <w:pPr>
      <w:ind w:left="720"/>
      <w:contextualSpacing w:val="1"/>
    </w:pPr>
  </w:style>
  <w:style w:type="paragraph" w:styleId="a5">
    <w:name w:val="header"/>
    <w:basedOn w:val="a"/>
    <w:link w:val="a6"/>
    <w:uiPriority w:val="99"/>
    <w:unhideWhenUsed w:val="1"/>
    <w:rsid w:val="00AA1D9F"/>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AA1D9F"/>
  </w:style>
  <w:style w:type="paragraph" w:styleId="a7">
    <w:name w:val="footer"/>
    <w:basedOn w:val="a"/>
    <w:link w:val="a8"/>
    <w:uiPriority w:val="99"/>
    <w:unhideWhenUsed w:val="1"/>
    <w:rsid w:val="00AA1D9F"/>
    <w:pPr>
      <w:tabs>
        <w:tab w:val="center" w:pos="4677"/>
        <w:tab w:val="right" w:pos="9355"/>
      </w:tabs>
      <w:spacing w:after="0" w:line="240" w:lineRule="auto"/>
    </w:pPr>
  </w:style>
  <w:style w:type="character" w:styleId="a8" w:customStyle="1">
    <w:name w:val="Нижний колонтитул Знак"/>
    <w:basedOn w:val="a0"/>
    <w:link w:val="a7"/>
    <w:uiPriority w:val="99"/>
    <w:rsid w:val="00AA1D9F"/>
  </w:style>
  <w:style w:type="character" w:styleId="a9">
    <w:name w:val="annotation reference"/>
    <w:basedOn w:val="a0"/>
    <w:uiPriority w:val="99"/>
    <w:semiHidden w:val="1"/>
    <w:unhideWhenUsed w:val="1"/>
    <w:rsid w:val="00E75D02"/>
    <w:rPr>
      <w:sz w:val="16"/>
      <w:szCs w:val="16"/>
    </w:rPr>
  </w:style>
  <w:style w:type="paragraph" w:styleId="aa">
    <w:name w:val="annotation text"/>
    <w:basedOn w:val="a"/>
    <w:link w:val="ab"/>
    <w:uiPriority w:val="99"/>
    <w:semiHidden w:val="1"/>
    <w:unhideWhenUsed w:val="1"/>
    <w:rsid w:val="00E75D02"/>
    <w:pPr>
      <w:spacing w:line="240" w:lineRule="auto"/>
    </w:pPr>
    <w:rPr>
      <w:sz w:val="20"/>
      <w:szCs w:val="20"/>
    </w:rPr>
  </w:style>
  <w:style w:type="character" w:styleId="ab" w:customStyle="1">
    <w:name w:val="Текст примечания Знак"/>
    <w:basedOn w:val="a0"/>
    <w:link w:val="aa"/>
    <w:uiPriority w:val="99"/>
    <w:semiHidden w:val="1"/>
    <w:rsid w:val="00E75D02"/>
    <w:rPr>
      <w:sz w:val="20"/>
      <w:szCs w:val="20"/>
    </w:rPr>
  </w:style>
  <w:style w:type="paragraph" w:styleId="ac">
    <w:name w:val="annotation subject"/>
    <w:basedOn w:val="aa"/>
    <w:next w:val="aa"/>
    <w:link w:val="ad"/>
    <w:uiPriority w:val="99"/>
    <w:semiHidden w:val="1"/>
    <w:unhideWhenUsed w:val="1"/>
    <w:rsid w:val="00E75D02"/>
    <w:rPr>
      <w:b w:val="1"/>
      <w:bCs w:val="1"/>
    </w:rPr>
  </w:style>
  <w:style w:type="character" w:styleId="ad" w:customStyle="1">
    <w:name w:val="Тема примечания Знак"/>
    <w:basedOn w:val="ab"/>
    <w:link w:val="ac"/>
    <w:uiPriority w:val="99"/>
    <w:semiHidden w:val="1"/>
    <w:rsid w:val="00E75D02"/>
    <w:rPr>
      <w:b w:val="1"/>
      <w:bCs w:val="1"/>
      <w:sz w:val="20"/>
      <w:szCs w:val="20"/>
    </w:rPr>
  </w:style>
  <w:style w:type="paragraph" w:styleId="ae">
    <w:name w:val="Balloon Text"/>
    <w:basedOn w:val="a"/>
    <w:link w:val="af"/>
    <w:uiPriority w:val="99"/>
    <w:semiHidden w:val="1"/>
    <w:unhideWhenUsed w:val="1"/>
    <w:rsid w:val="00E75D02"/>
    <w:pPr>
      <w:spacing w:after="0" w:line="240" w:lineRule="auto"/>
    </w:pPr>
    <w:rPr>
      <w:rFonts w:ascii="Tahoma" w:cs="Tahoma" w:hAnsi="Tahoma"/>
      <w:sz w:val="16"/>
      <w:szCs w:val="16"/>
    </w:rPr>
  </w:style>
  <w:style w:type="character" w:styleId="af" w:customStyle="1">
    <w:name w:val="Текст выноски Знак"/>
    <w:basedOn w:val="a0"/>
    <w:link w:val="ae"/>
    <w:uiPriority w:val="99"/>
    <w:semiHidden w:val="1"/>
    <w:rsid w:val="00E75D02"/>
    <w:rPr>
      <w:rFonts w:ascii="Tahoma" w:cs="Tahoma" w:hAnsi="Tahoma"/>
      <w:sz w:val="16"/>
      <w:szCs w:val="16"/>
    </w:rPr>
  </w:style>
  <w:style w:type="paragraph" w:styleId="af0">
    <w:name w:val="Normal (Web)"/>
    <w:basedOn w:val="a"/>
    <w:uiPriority w:val="99"/>
    <w:unhideWhenUsed w:val="1"/>
    <w:rsid w:val="003C7BFB"/>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s0" w:customStyle="1">
    <w:name w:val="s0"/>
    <w:basedOn w:val="a0"/>
    <w:rsid w:val="00B722BE"/>
    <w:rPr>
      <w:rFonts w:ascii="Times New Roman" w:cs="Times New Roman" w:hAnsi="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val="1"/>
    <w:unhideWhenUsed w:val="1"/>
    <w:rsid w:val="00C25847"/>
    <w:rPr>
      <w:color w:val="000080"/>
      <w:u w:val="single"/>
    </w:rPr>
  </w:style>
  <w:style w:type="character" w:styleId="s3" w:customStyle="1">
    <w:name w:val="s3"/>
    <w:basedOn w:val="a0"/>
    <w:rsid w:val="00C25847"/>
    <w:rPr>
      <w:rFonts w:ascii="Times New Roman" w:cs="Times New Roman" w:hAnsi="Times New Roman" w:hint="default"/>
      <w:i w:val="1"/>
      <w:iCs w:val="1"/>
      <w:vanish w:val="1"/>
      <w:webHidden w:val="0"/>
      <w:color w:val="ff0000"/>
      <w:specVanish w:val="0"/>
    </w:rPr>
  </w:style>
  <w:style w:type="character" w:styleId="s9" w:customStyle="1">
    <w:name w:val="s9"/>
    <w:basedOn w:val="a0"/>
    <w:rsid w:val="00C25847"/>
    <w:rPr>
      <w:rFonts w:ascii="Times New Roman" w:cs="Times New Roman" w:hAnsi="Times New Roman" w:hint="default"/>
      <w:i w:val="1"/>
      <w:iCs w:val="1"/>
      <w:vanish w:val="1"/>
      <w:webHidden w:val="0"/>
      <w:color w:val="333399"/>
      <w:u w:val="single"/>
      <w:bdr w:color="auto" w:frame="1" w:space="0" w:sz="0" w:val="none"/>
      <w:specVanish w:val="0"/>
    </w:rPr>
  </w:style>
  <w:style w:type="paragraph" w:styleId="af2">
    <w:name w:val="No Spacing"/>
    <w:uiPriority w:val="1"/>
    <w:qFormat w:val="1"/>
    <w:rsid w:val="00F77406"/>
    <w:pPr>
      <w:spacing w:after="0" w:line="240" w:lineRule="auto"/>
    </w:pPr>
  </w:style>
  <w:style w:type="paragraph" w:styleId="HTML">
    <w:name w:val="HTML Preformatted"/>
    <w:basedOn w:val="a"/>
    <w:link w:val="HTML0"/>
    <w:uiPriority w:val="99"/>
    <w:semiHidden w:val="1"/>
    <w:unhideWhenUsed w:val="1"/>
    <w:rsid w:val="00231FC2"/>
    <w:pPr>
      <w:spacing w:after="0" w:line="240" w:lineRule="auto"/>
    </w:pPr>
    <w:rPr>
      <w:rFonts w:ascii="Consolas" w:hAnsi="Consolas"/>
      <w:sz w:val="20"/>
      <w:szCs w:val="20"/>
    </w:rPr>
  </w:style>
  <w:style w:type="character" w:styleId="HTML0" w:customStyle="1">
    <w:name w:val="Стандартный HTML Знак"/>
    <w:basedOn w:val="a0"/>
    <w:link w:val="HTML"/>
    <w:uiPriority w:val="99"/>
    <w:semiHidden w:val="1"/>
    <w:rsid w:val="00231FC2"/>
    <w:rPr>
      <w:rFonts w:ascii="Consolas" w:hAnsi="Consolas"/>
      <w:sz w:val="20"/>
      <w:szCs w:val="20"/>
    </w:rPr>
  </w:style>
  <w:style w:type="character" w:styleId="y2iqfc" w:customStyle="1">
    <w:name w:val="y2iqfc"/>
    <w:basedOn w:val="a0"/>
    <w:rsid w:val="00231F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Bmm8XKyrs5njc2FNZRMnDYJLA==">CgMxLjAyCGguZ2pkZ3hzOAByITFQaExJdDB5LXQ4T0dKZnV5em9UWGlnZ05Nd3JHbmxoMQ==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2023-06-23T12:11:00Z</dcterms:created>
  <dc:creator>Акмарал Дуйсенбиева</dc:creator>
</cp:coreProperties>
</file>