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400"/>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2">
      <w:pPr>
        <w:spacing w:after="0" w:line="240" w:lineRule="auto"/>
        <w:ind w:firstLine="400"/>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Жобаны қаржыландыруға қарау үшін қажетті құжаттар </w:t>
      </w:r>
    </w:p>
    <w:p w:rsidR="00000000" w:rsidDel="00000000" w:rsidP="00000000" w:rsidRDefault="00000000" w:rsidRPr="00000000" w14:paraId="00000003">
      <w:pPr>
        <w:spacing w:after="0" w:line="240" w:lineRule="auto"/>
        <w:ind w:firstLine="40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ind w:left="-709" w:right="-426"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Қаржыландыруды алу мақсатында Қоғамға жүгінген кезде Өтінішкер мынадай құжаттардың нысанын толтырады, уәкілетті тұлғаға қол қойдырады және мөрмен куәландырады: </w:t>
      </w:r>
    </w:p>
    <w:p w:rsidR="00000000" w:rsidDel="00000000" w:rsidP="00000000" w:rsidRDefault="00000000" w:rsidRPr="00000000" w14:paraId="00000005">
      <w:pPr>
        <w:tabs>
          <w:tab w:val="left" w:leader="none" w:pos="709"/>
        </w:tabs>
        <w:spacing w:after="0" w:line="240" w:lineRule="auto"/>
        <w:ind w:left="-709" w:right="-426"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осы Тізбенің </w:t>
      </w:r>
      <w:r w:rsidDel="00000000" w:rsidR="00000000" w:rsidRPr="00000000">
        <w:rPr>
          <w:rFonts w:ascii="Times New Roman" w:cs="Times New Roman" w:eastAsia="Times New Roman" w:hAnsi="Times New Roman"/>
          <w:sz w:val="24"/>
          <w:szCs w:val="24"/>
          <w:rtl w:val="0"/>
        </w:rPr>
        <w:t xml:space="preserve">№ 1-2-қосымшаларына сәйкес Өтініш нысанын</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6">
      <w:pPr>
        <w:tabs>
          <w:tab w:val="left" w:leader="none" w:pos="709"/>
        </w:tabs>
        <w:spacing w:after="0" w:line="240" w:lineRule="auto"/>
        <w:ind w:left="-709" w:right="-426"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осы Тізбенің </w:t>
      </w:r>
      <w:r w:rsidDel="00000000" w:rsidR="00000000" w:rsidRPr="00000000">
        <w:rPr>
          <w:rFonts w:ascii="Times New Roman" w:cs="Times New Roman" w:eastAsia="Times New Roman" w:hAnsi="Times New Roman"/>
          <w:sz w:val="24"/>
          <w:szCs w:val="24"/>
          <w:rtl w:val="0"/>
        </w:rPr>
        <w:t xml:space="preserve">№ 1-3-қосымшасына сәйкес өтінішкер Сауалнамасының нысанын</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7">
      <w:pPr>
        <w:spacing w:after="0" w:line="240" w:lineRule="auto"/>
        <w:ind w:left="-709" w:right="-42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осы Регламенттің № 2-1/2-2-қосымшасына сәйкес жеке / заңды тұлғаның кредиттік тарих субъектісінің ол туралы ақпаратты кредиттік бюроларға беруге және кредиттік бюродан кредиттік есепті беруге келісімі.</w:t>
      </w:r>
    </w:p>
    <w:p w:rsidR="00000000" w:rsidDel="00000000" w:rsidP="00000000" w:rsidRDefault="00000000" w:rsidRPr="00000000" w14:paraId="00000008">
      <w:pPr>
        <w:spacing w:after="0" w:line="240" w:lineRule="auto"/>
        <w:ind w:left="-709" w:right="-426" w:firstLine="709"/>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u w:val="single"/>
          <w:rtl w:val="0"/>
        </w:rPr>
        <w:t xml:space="preserve">(заңды тұлғалар үшін қосымша 10% - дан астам үлесі бар Өтінішкердің қатысушыларының/акционерлерінің осындай келісімдері ұсынылады)</w:t>
      </w:r>
    </w:p>
    <w:p w:rsidR="00000000" w:rsidDel="00000000" w:rsidP="00000000" w:rsidRDefault="00000000" w:rsidRPr="00000000" w14:paraId="00000009">
      <w:pPr>
        <w:spacing w:after="0" w:line="240" w:lineRule="auto"/>
        <w:ind w:left="-709" w:right="-426" w:firstLine="709"/>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0A">
      <w:pPr>
        <w:spacing w:after="0" w:line="240" w:lineRule="auto"/>
        <w:ind w:left="-709" w:right="-426"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Көрсетілген құжаттармен бірге Өтінішкер Қоғамға мынадай құжаттардың пакетін ұсынады:</w:t>
      </w:r>
    </w:p>
    <w:tbl>
      <w:tblPr>
        <w:tblStyle w:val="Table1"/>
        <w:tblW w:w="1049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8051"/>
        <w:gridCol w:w="1701"/>
        <w:tblGridChange w:id="0">
          <w:tblGrid>
            <w:gridCol w:w="738"/>
            <w:gridCol w:w="8051"/>
            <w:gridCol w:w="1701"/>
          </w:tblGrid>
        </w:tblGridChange>
      </w:tblGrid>
      <w:tr>
        <w:trPr>
          <w:cantSplit w:val="0"/>
          <w:trHeight w:val="401" w:hRule="atLeast"/>
          <w:tblHeader w:val="0"/>
        </w:trPr>
        <w:tc>
          <w:tcPr>
            <w:gridSpan w:val="3"/>
            <w:shd w:fill="auto" w:val="clear"/>
            <w:vAlign w:val="center"/>
          </w:tcPr>
          <w:p w:rsidR="00000000" w:rsidDel="00000000" w:rsidP="00000000" w:rsidRDefault="00000000" w:rsidRPr="00000000" w14:paraId="0000000B">
            <w:pPr>
              <w:numPr>
                <w:ilvl w:val="0"/>
                <w:numId w:val="2"/>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Өтінішкер - заңды тұлғалар үшін құжаттар тізбесі </w:t>
            </w:r>
          </w:p>
        </w:tc>
      </w:tr>
      <w:tr>
        <w:trPr>
          <w:cantSplit w:val="0"/>
          <w:trHeight w:val="20" w:hRule="atLeast"/>
          <w:tblHeader w:val="0"/>
        </w:trPr>
        <w:tc>
          <w:tcPr>
            <w:shd w:fill="auto" w:val="clear"/>
          </w:tcPr>
          <w:p w:rsidR="00000000" w:rsidDel="00000000" w:rsidP="00000000" w:rsidRDefault="00000000" w:rsidRPr="00000000" w14:paraId="0000000E">
            <w:pPr>
              <w:tabs>
                <w:tab w:val="left" w:leader="none" w:pos="34"/>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Pr>
          <w:p w:rsidR="00000000" w:rsidDel="00000000" w:rsidP="00000000" w:rsidRDefault="00000000" w:rsidRPr="00000000" w14:paraId="0000000F">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Заңды тұлғаның бизнес-жоспары немесе қаржыландыру алудың Техникалық-экономикалық негіздемесі</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Құжаттар болмаған жағдайда, </w:t>
            </w:r>
            <w:r w:rsidDel="00000000" w:rsidR="00000000" w:rsidRPr="00000000">
              <w:rPr>
                <w:rFonts w:ascii="Times New Roman" w:cs="Times New Roman" w:eastAsia="Times New Roman" w:hAnsi="Times New Roman"/>
                <w:color w:val="000000"/>
                <w:sz w:val="24"/>
                <w:szCs w:val="24"/>
                <w:rtl w:val="0"/>
              </w:rPr>
              <w:t xml:space="preserve">Өтінішкер осы Тізбенің № 1-5-қосымшаларына сәйкес нысанды толтырады.</w:t>
            </w:r>
          </w:p>
        </w:tc>
        <w:tc>
          <w:tcPr>
            <w:shd w:fill="auto" w:val="clear"/>
          </w:tcPr>
          <w:p w:rsidR="00000000" w:rsidDel="00000000" w:rsidP="00000000" w:rsidRDefault="00000000" w:rsidRPr="00000000" w14:paraId="0000001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Түпнұсқа немесе түпнұсқадан электрондық көшірме</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12">
            <w:pPr>
              <w:tabs>
                <w:tab w:val="left" w:leader="none" w:pos="34"/>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Pr>
          <w:p w:rsidR="00000000" w:rsidDel="00000000" w:rsidP="00000000" w:rsidRDefault="00000000" w:rsidRPr="00000000" w14:paraId="00000013">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Қызмет көрсететін қаржы ұйымдарының (банктердің, лизингтік компаниялардың, кредиттік серіктестіктердің және кредиттік ұйымдардың) өтініш берілген күнге дейін </w:t>
            </w:r>
            <w:r w:rsidDel="00000000" w:rsidR="00000000" w:rsidRPr="00000000">
              <w:rPr>
                <w:rFonts w:ascii="Times New Roman" w:cs="Times New Roman" w:eastAsia="Times New Roman" w:hAnsi="Times New Roman"/>
                <w:sz w:val="24"/>
                <w:szCs w:val="24"/>
                <w:u w:val="single"/>
                <w:rtl w:val="0"/>
              </w:rPr>
              <w:t xml:space="preserve">1 (бір) айдан</w:t>
            </w:r>
            <w:r w:rsidDel="00000000" w:rsidR="00000000" w:rsidRPr="00000000">
              <w:rPr>
                <w:rFonts w:ascii="Times New Roman" w:cs="Times New Roman" w:eastAsia="Times New Roman" w:hAnsi="Times New Roman"/>
                <w:sz w:val="24"/>
                <w:szCs w:val="24"/>
                <w:rtl w:val="0"/>
              </w:rPr>
              <w:t xml:space="preserve"> ерте емес күні көрсетілген қарыз берешегінің болуы (болмауы) туралы анықтамалары.</w:t>
            </w:r>
          </w:p>
          <w:p w:rsidR="00000000" w:rsidDel="00000000" w:rsidP="00000000" w:rsidRDefault="00000000" w:rsidRPr="00000000" w14:paraId="0000001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несие берешегі болған жағдайда, қосымша ұсынылады:</w:t>
            </w:r>
            <w:r w:rsidDel="00000000" w:rsidR="00000000" w:rsidRPr="00000000">
              <w:rPr>
                <w:rFonts w:ascii="Times New Roman" w:cs="Times New Roman" w:eastAsia="Times New Roman" w:hAnsi="Times New Roman"/>
                <w:color w:val="000000"/>
                <w:sz w:val="24"/>
                <w:szCs w:val="24"/>
                <w:rtl w:val="0"/>
              </w:rPr>
              <w:t xml:space="preserve"> кредиттік тарих жөніндегі құжаттардың (қаржыландыру шарттары, кепіл шарттары, өтеу кестелері және т.б.) көшірмелері</w:t>
            </w:r>
          </w:p>
          <w:p w:rsidR="00000000" w:rsidDel="00000000" w:rsidP="00000000" w:rsidRDefault="00000000" w:rsidRPr="00000000" w14:paraId="00000015">
            <w:pPr>
              <w:widowControl w:val="0"/>
              <w:spacing w:after="0" w:line="240" w:lineRule="auto"/>
              <w:ind w:left="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17">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Түпнұсқа немесе түпнұсқадан электрондық көшірме </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u w:val="single"/>
                <w:rtl w:val="0"/>
              </w:rPr>
              <w:t xml:space="preserve">ЭЦҚ қойылған электрондық құжаттың қағаздағы көшірмесі</w:t>
            </w: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18">
            <w:pPr>
              <w:tabs>
                <w:tab w:val="left" w:leader="none" w:pos="34"/>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shd w:fill="auto" w:val="clear"/>
          </w:tcPr>
          <w:p w:rsidR="00000000" w:rsidDel="00000000" w:rsidP="00000000" w:rsidRDefault="00000000" w:rsidRPr="00000000" w14:paraId="00000019">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Жарғы барлық өзгерістерімен және толықтыруларымен бірге. </w:t>
            </w:r>
          </w:p>
          <w:p w:rsidR="00000000" w:rsidDel="00000000" w:rsidP="00000000" w:rsidRDefault="00000000" w:rsidRPr="00000000" w14:paraId="0000001A">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rtl w:val="0"/>
              </w:rPr>
              <w:t xml:space="preserve"> Жарғыда қатысушы/лар туралы, сондай-ақ жарғылық капиталдағы оның үлесінің мөлшері туралы толық ақпарат болмаған жағдайда, қосымша ұсынылады: құрылтай шарты</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*қатысушылар тізілімін тіркеуші жүргізетін АҚ мен ЖШС үшін, қосымша ұсынылады: барлық акционерлер мен оларға тиесілі акциялардың саны көрсетілген, өтініш берілген күнге дейін 1 (бір) айдан ерте емес күні көрсетілген бағалы қағаздарды ұстаушылар тізілімдерінің жүйесінен үзінді көшірмt.</w:t>
            </w:r>
          </w:p>
          <w:p w:rsidR="00000000" w:rsidDel="00000000" w:rsidP="00000000" w:rsidRDefault="00000000" w:rsidRPr="00000000" w14:paraId="0000001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Қайталама нарықта сатып алынған жарғылық капиталдағы үлеске 10% және одан да көп қатысу үлесін иеленетін (қаржыландыру алу/мүлікті кепілге беру/кепілдік беру туралы шешім қабылдайтын) қатысушылардың құқықтарын растайтын құжаттар (өзгеру фактісі болған кезде қаржыландыру туралы өтініш берген күнге соңғы 3 жылдағы): </w:t>
            </w:r>
          </w:p>
          <w:p w:rsidR="00000000" w:rsidDel="00000000" w:rsidP="00000000" w:rsidRDefault="00000000" w:rsidRPr="00000000" w14:paraId="0000001D">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жарғылық капиталдағы үлесінің жаңа меншік иесіне ауысуына негіз болған құжаттар (сатып алу-сату/сыйға тарту шарты және т. б.);</w:t>
            </w:r>
          </w:p>
          <w:p w:rsidR="00000000" w:rsidDel="00000000" w:rsidP="00000000" w:rsidRDefault="00000000" w:rsidRPr="00000000" w14:paraId="0000001E">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сатып алынған үлес құнының төленгенін растайтын құжаттар - үлесті өтеулі сатып алу кезінде ұсынылады;</w:t>
            </w:r>
          </w:p>
          <w:p w:rsidR="00000000" w:rsidDel="00000000" w:rsidP="00000000" w:rsidRDefault="00000000" w:rsidRPr="00000000" w14:paraId="0000001F">
            <w:pPr>
              <w:widowControl w:val="0"/>
              <w:tabs>
                <w:tab w:val="left" w:leader="none" w:pos="289"/>
              </w:tabs>
              <w:spacing w:after="0" w:line="240" w:lineRule="auto"/>
              <w:ind w:left="5" w:hanging="5"/>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4"/>
                <w:szCs w:val="24"/>
                <w:rtl w:val="0"/>
              </w:rPr>
              <w:t xml:space="preserve">- немесе үлесті иеліктен шығарушы тарапынан кінәрат-талаптың/талаптанудың болмауы нотариалды куәландырылған жазбаша растама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020">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Қағаздағы көшірмелер</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немесе </w:t>
            </w:r>
            <w:r w:rsidDel="00000000" w:rsidR="00000000" w:rsidRPr="00000000">
              <w:rPr>
                <w:rFonts w:ascii="Times New Roman" w:cs="Times New Roman" w:eastAsia="Times New Roman" w:hAnsi="Times New Roman"/>
                <w:color w:val="000000"/>
                <w:sz w:val="24"/>
                <w:szCs w:val="24"/>
                <w:rtl w:val="0"/>
              </w:rPr>
              <w:t xml:space="preserve">электрондық көшірмелер</w:t>
            </w:r>
          </w:p>
        </w:tc>
      </w:tr>
      <w:tr>
        <w:trPr>
          <w:cantSplit w:val="0"/>
          <w:trHeight w:val="20" w:hRule="atLeast"/>
          <w:tblHeader w:val="0"/>
        </w:trPr>
        <w:tc>
          <w:tcPr>
            <w:shd w:fill="auto" w:val="clear"/>
          </w:tcPr>
          <w:p w:rsidR="00000000" w:rsidDel="00000000" w:rsidP="00000000" w:rsidRDefault="00000000" w:rsidRPr="00000000" w14:paraId="00000021">
            <w:pPr>
              <w:tabs>
                <w:tab w:val="left" w:leader="none" w:pos="34"/>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shd w:fill="auto" w:val="clear"/>
          </w:tcPr>
          <w:p w:rsidR="00000000" w:rsidDel="00000000" w:rsidP="00000000" w:rsidRDefault="00000000" w:rsidRPr="00000000" w14:paraId="0000002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Заңды тұлғаның/сенім білдірілген тұлғаның атқарушы органы жөнінде құжаттар:</w:t>
            </w:r>
          </w:p>
          <w:p w:rsidR="00000000" w:rsidDel="00000000" w:rsidP="00000000" w:rsidRDefault="00000000" w:rsidRPr="00000000" w14:paraId="00000023">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атқарушы органды құру және Атқарушы органның басшысын немесе заңды/жеке тұлғаның атынан құжаттарға қол қоюға уәкілетті адамды немесе шешім қабылдайтын тұлғаны сайлау туралы уәкілетті органның шешімі</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бірінші басшыны тағайындау туралы бұйрық, тиісті сенімхат және т.б.;</w:t>
            </w:r>
          </w:p>
          <w:p w:rsidR="00000000" w:rsidDel="00000000" w:rsidP="00000000" w:rsidRDefault="00000000" w:rsidRPr="00000000" w14:paraId="0000002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бірінші басшының/сенім жүктелген тұлғаның жеке тұлғасын куәландыратын құжат.</w:t>
            </w:r>
          </w:p>
          <w:p w:rsidR="00000000" w:rsidDel="00000000" w:rsidP="00000000" w:rsidRDefault="00000000" w:rsidRPr="00000000" w14:paraId="00000026">
            <w:pPr>
              <w:widowControl w:val="0"/>
              <w:spacing w:after="0" w:line="240" w:lineRule="auto"/>
              <w:ind w:left="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АҚ үшін қосымша ұсынылады:</w:t>
            </w:r>
            <w:r w:rsidDel="00000000" w:rsidR="00000000" w:rsidRPr="00000000">
              <w:rPr>
                <w:rFonts w:ascii="Times New Roman" w:cs="Times New Roman" w:eastAsia="Times New Roman" w:hAnsi="Times New Roman"/>
                <w:color w:val="000000"/>
                <w:sz w:val="24"/>
                <w:szCs w:val="24"/>
                <w:rtl w:val="0"/>
              </w:rPr>
              <w:t xml:space="preserve"> уәкілетті органның АҚ Директорлар кеңесін сайлау/тағайындау туралы шешімі/хаттама;</w:t>
            </w:r>
          </w:p>
          <w:p w:rsidR="00000000" w:rsidDel="00000000" w:rsidP="00000000" w:rsidRDefault="00000000" w:rsidRPr="00000000" w14:paraId="00000027">
            <w:pPr>
              <w:widowControl w:val="0"/>
              <w:spacing w:after="0" w:line="240" w:lineRule="auto"/>
              <w:ind w:left="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заңды тұлғада өзге де жұмыс істейтін уәкілетті органдар (байқау кеңесі және т. б.) болған жағдайда, қосымша ұсынылады</w:t>
            </w:r>
            <w:r w:rsidDel="00000000" w:rsidR="00000000" w:rsidRPr="00000000">
              <w:rPr>
                <w:rFonts w:ascii="Times New Roman" w:cs="Times New Roman" w:eastAsia="Times New Roman" w:hAnsi="Times New Roman"/>
                <w:color w:val="000000"/>
                <w:sz w:val="24"/>
                <w:szCs w:val="24"/>
                <w:rtl w:val="0"/>
              </w:rPr>
              <w:t xml:space="preserve">: оларды құру және олардың мүшелерін тағайындау туралы шешім;</w:t>
            </w:r>
          </w:p>
          <w:p w:rsidR="00000000" w:rsidDel="00000000" w:rsidP="00000000" w:rsidRDefault="00000000" w:rsidRPr="00000000" w14:paraId="00000028">
            <w:pPr>
              <w:widowControl w:val="0"/>
              <w:spacing w:after="0" w:line="240" w:lineRule="auto"/>
              <w:ind w:left="5"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 қосымша ұсынылады:</w:t>
            </w:r>
          </w:p>
          <w:p w:rsidR="00000000" w:rsidDel="00000000" w:rsidP="00000000" w:rsidRDefault="00000000" w:rsidRPr="00000000" w14:paraId="00000029">
            <w:pPr>
              <w:widowControl w:val="0"/>
              <w:spacing w:after="0" w:line="240" w:lineRule="auto"/>
              <w:ind w:left="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оның жеке тұлғасын куәландыратын құжат;</w:t>
            </w:r>
          </w:p>
          <w:p w:rsidR="00000000" w:rsidDel="00000000" w:rsidP="00000000" w:rsidRDefault="00000000" w:rsidRPr="00000000" w14:paraId="0000002A">
            <w:pPr>
              <w:widowControl w:val="0"/>
              <w:spacing w:after="0" w:line="240" w:lineRule="auto"/>
              <w:ind w:lef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бас бухгалтерді және/немесе құжаттарға қосымша бірінші және/немесе екінші қол қою құқығы берілген, сондай-ақ бухгалтерлік есепті жүргізу және қаржылық есептілікке қол қою бойынша өкілеттік жүктелген басқа да тұлғаларды тағайындау туралы бұйрық.</w:t>
            </w:r>
            <w:r w:rsidDel="00000000" w:rsidR="00000000" w:rsidRPr="00000000">
              <w:rPr>
                <w:rtl w:val="0"/>
              </w:rPr>
            </w:r>
          </w:p>
        </w:tc>
        <w:tc>
          <w:tcPr>
            <w:shd w:fill="auto" w:val="clear"/>
          </w:tcPr>
          <w:p w:rsidR="00000000" w:rsidDel="00000000" w:rsidP="00000000" w:rsidRDefault="00000000" w:rsidRPr="00000000" w14:paraId="0000002B">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Көшірме</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C">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немесе электрондық көшірме</w:t>
            </w:r>
          </w:p>
        </w:tc>
      </w:tr>
      <w:tr>
        <w:trPr>
          <w:cantSplit w:val="0"/>
          <w:trHeight w:val="20" w:hRule="atLeast"/>
          <w:tblHeader w:val="0"/>
        </w:trPr>
        <w:tc>
          <w:tcPr>
            <w:shd w:fill="auto" w:val="clear"/>
          </w:tcPr>
          <w:p w:rsidR="00000000" w:rsidDel="00000000" w:rsidP="00000000" w:rsidRDefault="00000000" w:rsidRPr="00000000" w14:paraId="0000002D">
            <w:pPr>
              <w:tabs>
                <w:tab w:val="left" w:leader="none" w:pos="34"/>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shd w:fill="auto" w:val="clear"/>
          </w:tcPr>
          <w:p w:rsidR="00000000" w:rsidDel="00000000" w:rsidP="00000000" w:rsidRDefault="00000000" w:rsidRPr="00000000" w14:paraId="0000002E">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Соңғы 2 (екі) жылдағы және өтініш берген күн алдындағы соңғы есепті тоқсандағы дебиторлық және кредиторлық берешекті, тауарлық-материалдық қорларды, негізгі құралдарды, биологиялық активтерді және Баланс құрылымында 10%-дан астам үлесі бар өзге де баланс баптары ашылып көрсетілген қаржылық есептілік.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F">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00"/>
                <w:sz w:val="24"/>
                <w:szCs w:val="24"/>
                <w:rtl w:val="0"/>
              </w:rPr>
              <w:t xml:space="preserve">* Өтінішкер қаржылық есептілікті осы Регламенттің № 4-1, 4-2, 4-3, 4-4, 4-5-қосымшалары бойынша нысандарға сәйкес жасауға құқылы.</w:t>
            </w:r>
            <w:r w:rsidDel="00000000" w:rsidR="00000000" w:rsidRPr="00000000">
              <w:rPr>
                <w:rtl w:val="0"/>
              </w:rPr>
            </w:r>
          </w:p>
          <w:p w:rsidR="00000000" w:rsidDel="00000000" w:rsidP="00000000" w:rsidRDefault="00000000" w:rsidRPr="00000000" w14:paraId="00000031">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АҚ үшін қосымша ұсынылады: </w:t>
            </w:r>
            <w:r w:rsidDel="00000000" w:rsidR="00000000" w:rsidRPr="00000000">
              <w:rPr>
                <w:rFonts w:ascii="Times New Roman" w:cs="Times New Roman" w:eastAsia="Times New Roman" w:hAnsi="Times New Roman"/>
                <w:color w:val="000000"/>
                <w:sz w:val="24"/>
                <w:szCs w:val="24"/>
                <w:rtl w:val="0"/>
              </w:rPr>
              <w:t xml:space="preserve">қаржылық есептілікке берілген аудиторлық есептің көшірмесі</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032">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Түпнұсқа немесе түпнұсқадан электрондық көшірме</w:t>
            </w:r>
          </w:p>
        </w:tc>
      </w:tr>
      <w:tr>
        <w:trPr>
          <w:cantSplit w:val="0"/>
          <w:trHeight w:val="20" w:hRule="atLeast"/>
          <w:tblHeader w:val="0"/>
        </w:trPr>
        <w:tc>
          <w:tcPr>
            <w:shd w:fill="auto" w:val="clear"/>
          </w:tcPr>
          <w:p w:rsidR="00000000" w:rsidDel="00000000" w:rsidP="00000000" w:rsidRDefault="00000000" w:rsidRPr="00000000" w14:paraId="00000033">
            <w:pPr>
              <w:tabs>
                <w:tab w:val="left" w:leader="none" w:pos="34"/>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shd w:fill="auto" w:val="clear"/>
          </w:tcPr>
          <w:p w:rsidR="00000000" w:rsidDel="00000000" w:rsidP="00000000" w:rsidRDefault="00000000" w:rsidRPr="00000000" w14:paraId="0000003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Қолданыстағы салық режиміне байланысты соңғы есепті кезеңдегі салық есептілігі (декларация/патент)</w:t>
            </w:r>
          </w:p>
        </w:tc>
        <w:tc>
          <w:tcPr>
            <w:shd w:fill="auto" w:val="clear"/>
          </w:tcPr>
          <w:p w:rsidR="00000000" w:rsidDel="00000000" w:rsidP="00000000" w:rsidRDefault="00000000" w:rsidRPr="00000000" w14:paraId="00000035">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Электрондық/қағаз көшірме</w:t>
            </w:r>
          </w:p>
          <w:p w:rsidR="00000000" w:rsidDel="00000000" w:rsidP="00000000" w:rsidRDefault="00000000" w:rsidRPr="00000000" w14:paraId="00000036">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1049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8051"/>
        <w:gridCol w:w="1701"/>
        <w:tblGridChange w:id="0">
          <w:tblGrid>
            <w:gridCol w:w="738"/>
            <w:gridCol w:w="8051"/>
            <w:gridCol w:w="1701"/>
          </w:tblGrid>
        </w:tblGridChange>
      </w:tblGrid>
      <w:tr>
        <w:trPr>
          <w:cantSplit w:val="0"/>
          <w:trHeight w:val="20" w:hRule="atLeast"/>
          <w:tblHeader w:val="0"/>
        </w:trPr>
        <w:tc>
          <w:tcPr>
            <w:gridSpan w:val="3"/>
            <w:shd w:fill="auto" w:val="clear"/>
          </w:tcPr>
          <w:p w:rsidR="00000000" w:rsidDel="00000000" w:rsidP="00000000" w:rsidRDefault="00000000" w:rsidRPr="00000000" w14:paraId="00000039">
            <w:pPr>
              <w:tabs>
                <w:tab w:val="left" w:leader="none" w:pos="367"/>
                <w:tab w:val="left" w:leader="none" w:pos="914"/>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Төменде келтірілген тиісті фактілер туындаған жағдайда мына құжаттар ұсынылады:</w:t>
            </w:r>
          </w:p>
        </w:tc>
      </w:tr>
      <w:tr>
        <w:trPr>
          <w:cantSplit w:val="0"/>
          <w:trHeight w:val="20" w:hRule="atLeast"/>
          <w:tblHeader w:val="0"/>
        </w:trPr>
        <w:tc>
          <w:tcPr>
            <w:shd w:fill="auto" w:val="clear"/>
          </w:tcPr>
          <w:p w:rsidR="00000000" w:rsidDel="00000000" w:rsidP="00000000" w:rsidRDefault="00000000" w:rsidRPr="00000000" w14:paraId="0000003C">
            <w:pPr>
              <w:tabs>
                <w:tab w:val="left" w:leader="none" w:pos="34"/>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shd w:fill="auto" w:val="clear"/>
          </w:tcPr>
          <w:p w:rsidR="00000000" w:rsidDel="00000000" w:rsidP="00000000" w:rsidRDefault="00000000" w:rsidRPr="00000000" w14:paraId="0000003D">
            <w:pPr>
              <w:widowControl w:val="0"/>
              <w:spacing w:after="0" w:line="240" w:lineRule="auto"/>
              <w:ind w:left="63"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Егер жоба міндетті түрде жер телімдерінің болуын көздесе:</w:t>
            </w:r>
          </w:p>
          <w:p w:rsidR="00000000" w:rsidDel="00000000" w:rsidP="00000000" w:rsidRDefault="00000000" w:rsidRPr="00000000" w14:paraId="0000003E">
            <w:pPr>
              <w:widowControl w:val="0"/>
              <w:numPr>
                <w:ilvl w:val="0"/>
                <w:numId w:val="1"/>
              </w:numPr>
              <w:tabs>
                <w:tab w:val="left" w:leader="none" w:pos="347"/>
              </w:tabs>
              <w:spacing w:after="0" w:line="240" w:lineRule="auto"/>
              <w:ind w:left="63" w:firstLine="0"/>
              <w:jc w:val="both"/>
              <w:rPr>
                <w:rFonts w:ascii="Times New Roman" w:cs="Times New Roman" w:eastAsia="Times New Roman" w:hAnsi="Times New Roman"/>
                <w:b w:val="1"/>
                <w:strike w:val="1"/>
                <w:color w:val="000000"/>
                <w:sz w:val="24"/>
                <w:szCs w:val="24"/>
              </w:rPr>
            </w:pPr>
            <w:r w:rsidDel="00000000" w:rsidR="00000000" w:rsidRPr="00000000">
              <w:rPr>
                <w:rFonts w:ascii="Times New Roman" w:cs="Times New Roman" w:eastAsia="Times New Roman" w:hAnsi="Times New Roman"/>
                <w:sz w:val="24"/>
                <w:szCs w:val="24"/>
                <w:rtl w:val="0"/>
              </w:rPr>
              <w:t xml:space="preserve">Өтінішкердің кәсіпкерлік қызметінде тартылатын жер телімдеріне арналған құқық белгілейтін және сәйкестендіру құжаттары – қағаздағы немесе электрондық көшірмелер</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3F">
            <w:pPr>
              <w:widowControl w:val="0"/>
              <w:numPr>
                <w:ilvl w:val="0"/>
                <w:numId w:val="1"/>
              </w:numPr>
              <w:tabs>
                <w:tab w:val="left" w:leader="none" w:pos="347"/>
              </w:tabs>
              <w:spacing w:after="0" w:line="240" w:lineRule="auto"/>
              <w:ind w:left="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өтініш беру күніне дейін 1 (бір) айдан ерте емес күні көрсетілген, жер телімдеріне тіркелген құқықтар мен ауыртпалықтар туралы анықтамалар – қағаздағы немесе электрондық көшірмелер;</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
              </w:tabs>
              <w:spacing w:after="200" w:before="0" w:line="276" w:lineRule="auto"/>
              <w:ind w:left="6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көшірмелері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немесе ауыл шаруашылығы, статистика бөлімі немесе Ауылдық округ әкімі ұқсас кезеңге берген өнімділік туралы анықтаманың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түпнұсқасы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заңды тұлғалар үшін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widowControl w:val="0"/>
              <w:tabs>
                <w:tab w:val="left" w:leader="none" w:pos="347"/>
              </w:tabs>
              <w:spacing w:after="0" w:line="240" w:lineRule="auto"/>
              <w:ind w:left="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rtl w:val="0"/>
              </w:rPr>
              <w:t xml:space="preserve">Ағымдағы жылға № 29 - Ауыл шаруашылығы дақылдарын жинау туралы статистикалық нысан ұсынылған немесе </w:t>
            </w:r>
            <w:r w:rsidDel="00000000" w:rsidR="00000000" w:rsidRPr="00000000">
              <w:rPr>
                <w:rFonts w:ascii="Times New Roman" w:cs="Times New Roman" w:eastAsia="Times New Roman" w:hAnsi="Times New Roman"/>
                <w:i w:val="1"/>
                <w:color w:val="000000"/>
                <w:u w:val="single"/>
                <w:rtl w:val="0"/>
              </w:rPr>
              <w:t xml:space="preserve">Лизинг алушы ағымдағы жылдың 1 тамызына дейін жүгінген жағдайда</w:t>
            </w:r>
            <w:r w:rsidDel="00000000" w:rsidR="00000000" w:rsidRPr="00000000">
              <w:rPr>
                <w:rFonts w:ascii="Times New Roman" w:cs="Times New Roman" w:eastAsia="Times New Roman" w:hAnsi="Times New Roman"/>
                <w:i w:val="1"/>
                <w:color w:val="000000"/>
                <w:rtl w:val="0"/>
              </w:rPr>
              <w:t xml:space="preserve">, онда АШ №4 анықтамасы сұратылмайды</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2">
            <w:pPr>
              <w:widowControl w:val="0"/>
              <w:tabs>
                <w:tab w:val="left" w:leader="none" w:pos="347"/>
              </w:tabs>
              <w:spacing w:after="0" w:line="240" w:lineRule="auto"/>
              <w:ind w:left="63"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rtl w:val="0"/>
              </w:rPr>
              <w:t xml:space="preserve">А-005 сауалнамасының түпнұсқасы немесе Ауыл шаруашылығы, статистика бөлімі немесе Ауылдық округ әкімі берген егіс өнімділігі туралы анықтама (</w:t>
            </w:r>
            <w:r w:rsidDel="00000000" w:rsidR="00000000" w:rsidRPr="00000000">
              <w:rPr>
                <w:rFonts w:ascii="Times New Roman" w:cs="Times New Roman" w:eastAsia="Times New Roman" w:hAnsi="Times New Roman"/>
                <w:i w:val="1"/>
                <w:rtl w:val="0"/>
              </w:rPr>
              <w:t xml:space="preserve">жеке тұлғалар үшін</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43">
            <w:pPr>
              <w:widowControl w:val="0"/>
              <w:tabs>
                <w:tab w:val="left" w:leader="none" w:pos="347"/>
              </w:tabs>
              <w:spacing w:after="0" w:line="240" w:lineRule="auto"/>
              <w:ind w:left="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u w:val="single"/>
                <w:rtl w:val="0"/>
              </w:rPr>
              <w:t xml:space="preserve">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044">
            <w:pPr>
              <w:widowControl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20" w:hRule="atLeast"/>
          <w:tblHeader w:val="0"/>
        </w:trPr>
        <w:tc>
          <w:tcPr>
            <w:shd w:fill="auto" w:val="clear"/>
          </w:tcPr>
          <w:p w:rsidR="00000000" w:rsidDel="00000000" w:rsidP="00000000" w:rsidRDefault="00000000" w:rsidRPr="00000000" w14:paraId="00000045">
            <w:pPr>
              <w:tabs>
                <w:tab w:val="left" w:leader="none" w:pos="0"/>
                <w:tab w:val="left" w:leader="none" w:pos="34"/>
                <w:tab w:val="left" w:leader="none" w:pos="318"/>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shd w:fill="auto" w:val="clear"/>
          </w:tcPr>
          <w:p w:rsidR="00000000" w:rsidDel="00000000" w:rsidP="00000000" w:rsidRDefault="00000000" w:rsidRPr="00000000" w14:paraId="00000046">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rtl w:val="0"/>
              </w:rPr>
              <w:t xml:space="preserve">Егер Өтінішкердің негізгі қызмет түрі мал шаруашылығы болса</w:t>
            </w:r>
            <w:r w:rsidDel="00000000" w:rsidR="00000000" w:rsidRPr="00000000">
              <w:rPr>
                <w:rFonts w:ascii="Times New Roman" w:cs="Times New Roman" w:eastAsia="Times New Roman" w:hAnsi="Times New Roman"/>
                <w:i w:val="1"/>
                <w:color w:val="000000"/>
                <w:sz w:val="24"/>
                <w:szCs w:val="24"/>
                <w:rtl w:val="0"/>
              </w:rPr>
              <w:t xml:space="preserve">:</w:t>
            </w:r>
          </w:p>
          <w:p w:rsidR="00000000" w:rsidDel="00000000" w:rsidP="00000000" w:rsidRDefault="00000000" w:rsidRPr="00000000" w14:paraId="00000047">
            <w:pPr>
              <w:spacing w:after="0" w:line="240" w:lineRule="auto"/>
              <w:ind w:left="63"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rtl w:val="0"/>
              </w:rPr>
              <w:t xml:space="preserve">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көрсетілген соңғы есепті кезеңдегі жыныстық-жас топтары бөлінісінде ағымдағы мал басы туралы анықтама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04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Түпнұсқа немесе түпнұсқадан электрондық көшірме</w:t>
            </w:r>
          </w:p>
        </w:tc>
      </w:tr>
      <w:tr>
        <w:trPr>
          <w:cantSplit w:val="0"/>
          <w:trHeight w:val="20" w:hRule="atLeast"/>
          <w:tblHeader w:val="0"/>
        </w:trPr>
        <w:tc>
          <w:tcPr>
            <w:shd w:fill="auto" w:val="clear"/>
          </w:tcPr>
          <w:p w:rsidR="00000000" w:rsidDel="00000000" w:rsidP="00000000" w:rsidRDefault="00000000" w:rsidRPr="00000000" w14:paraId="00000049">
            <w:pPr>
              <w:tabs>
                <w:tab w:val="left" w:leader="none" w:pos="0"/>
                <w:tab w:val="left" w:leader="none" w:pos="34"/>
                <w:tab w:val="left" w:leader="none" w:pos="318"/>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shd w:fill="auto" w:val="clear"/>
          </w:tcPr>
          <w:p w:rsidR="00000000" w:rsidDel="00000000" w:rsidP="00000000" w:rsidRDefault="00000000" w:rsidRPr="00000000" w14:paraId="0000004A">
            <w:pPr>
              <w:tabs>
                <w:tab w:val="left" w:leader="none" w:pos="367"/>
                <w:tab w:val="left" w:leader="none" w:pos="91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Өтінішкерде жарғылық капиталда 10%-дан артық үлесі бар заңды тұлғалардың қатысушылары болса, онда ұсынылады:</w:t>
            </w:r>
            <w:r w:rsidDel="00000000" w:rsidR="00000000" w:rsidRPr="00000000">
              <w:rPr>
                <w:rFonts w:ascii="Times New Roman" w:cs="Times New Roman" w:eastAsia="Times New Roman" w:hAnsi="Times New Roman"/>
                <w:color w:val="000000"/>
                <w:sz w:val="24"/>
                <w:szCs w:val="24"/>
                <w:rtl w:val="0"/>
              </w:rPr>
              <w:t xml:space="preserve"> осы қосымшаның </w:t>
            </w:r>
            <w:r w:rsidDel="00000000" w:rsidR="00000000" w:rsidRPr="00000000">
              <w:rPr>
                <w:rFonts w:ascii="Times New Roman" w:cs="Times New Roman" w:eastAsia="Times New Roman" w:hAnsi="Times New Roman"/>
                <w:sz w:val="24"/>
                <w:szCs w:val="24"/>
                <w:rtl w:val="0"/>
              </w:rPr>
              <w:t xml:space="preserve">1.3., 1.4-тармақтарында көрсетілген құжаттар</w:t>
            </w:r>
            <w:r w:rsidDel="00000000" w:rsidR="00000000" w:rsidRPr="00000000">
              <w:rPr>
                <w:rFonts w:ascii="Times New Roman" w:cs="Times New Roman" w:eastAsia="Times New Roman" w:hAnsi="Times New Roman"/>
                <w:color w:val="000000"/>
                <w:sz w:val="24"/>
                <w:szCs w:val="24"/>
                <w:rtl w:val="0"/>
              </w:rPr>
              <w:t xml:space="preserve">, сондай-ақ кредит бюросына келісімдер. </w:t>
            </w:r>
          </w:p>
          <w:p w:rsidR="00000000" w:rsidDel="00000000" w:rsidP="00000000" w:rsidRDefault="00000000" w:rsidRPr="00000000" w14:paraId="0000004B">
            <w:pPr>
              <w:tabs>
                <w:tab w:val="left" w:leader="none" w:pos="367"/>
                <w:tab w:val="left" w:leader="none" w:pos="914"/>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Өтінішкерде жарғылық капиталда 10% артық үлесі бар жеке тұлғалардың қатысушылары болса, онда ұсынылады</w:t>
            </w:r>
            <w:r w:rsidDel="00000000" w:rsidR="00000000" w:rsidRPr="00000000">
              <w:rPr>
                <w:rFonts w:ascii="Times New Roman" w:cs="Times New Roman" w:eastAsia="Times New Roman" w:hAnsi="Times New Roman"/>
                <w:color w:val="000000"/>
                <w:sz w:val="24"/>
                <w:szCs w:val="24"/>
                <w:rtl w:val="0"/>
              </w:rPr>
              <w:t xml:space="preserve">: жеке тұлғаны куәландыратын құжаттардың көшірмелері.  </w:t>
            </w:r>
          </w:p>
          <w:p w:rsidR="00000000" w:rsidDel="00000000" w:rsidP="00000000" w:rsidRDefault="00000000" w:rsidRPr="00000000" w14:paraId="0000004C">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w:cs="Times" w:eastAsia="Times" w:hAnsi="Times"/>
                <w:i w:val="1"/>
                <w:color w:val="000000"/>
                <w:sz w:val="24"/>
                <w:szCs w:val="24"/>
                <w:rtl w:val="0"/>
              </w:rPr>
              <w:t xml:space="preserve">Бұл талап Өтінішкердің түпкі бенефициары (меншік иесі) айқындалғанға дейін орындалады</w:t>
            </w:r>
            <w:r w:rsidDel="00000000" w:rsidR="00000000" w:rsidRPr="00000000">
              <w:rPr>
                <w:rFonts w:ascii="Quattrocento Sans" w:cs="Quattrocento Sans" w:eastAsia="Quattrocento Sans" w:hAnsi="Quattrocento Sans"/>
                <w:i w:val="1"/>
                <w:sz w:val="20"/>
                <w:szCs w:val="20"/>
                <w:rtl w:val="0"/>
              </w:rPr>
              <w:t xml:space="preserve">. </w:t>
            </w:r>
            <w:r w:rsidDel="00000000" w:rsidR="00000000" w:rsidRPr="00000000">
              <w:rPr>
                <w:rtl w:val="0"/>
              </w:rPr>
            </w:r>
          </w:p>
          <w:p w:rsidR="00000000" w:rsidDel="00000000" w:rsidP="00000000" w:rsidRDefault="00000000" w:rsidRPr="00000000" w14:paraId="0000004D">
            <w:pPr>
              <w:tabs>
                <w:tab w:val="left" w:leader="none" w:pos="367"/>
                <w:tab w:val="left" w:leader="none" w:pos="914"/>
              </w:tabs>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spacing w:after="0" w:line="240" w:lineRule="auto"/>
              <w:ind w:firstLine="4"/>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болып табылатын заңды тұлғалар түрінде қатысушы және онымен үлестес заңды тұлғалар болған жағдайда, құжаттар ұсынылмайды.</w:t>
            </w:r>
          </w:p>
        </w:tc>
        <w:tc>
          <w:tcPr>
            <w:shd w:fill="auto" w:val="clear"/>
          </w:tcPr>
          <w:p w:rsidR="00000000" w:rsidDel="00000000" w:rsidP="00000000" w:rsidRDefault="00000000" w:rsidRPr="00000000" w14:paraId="0000004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Көшірме</w:t>
            </w:r>
            <w:r w:rsidDel="00000000" w:rsidR="00000000" w:rsidRPr="00000000">
              <w:rPr>
                <w:rFonts w:ascii="Times New Roman" w:cs="Times New Roman" w:eastAsia="Times New Roman" w:hAnsi="Times New Roman"/>
                <w:color w:val="000000"/>
                <w:sz w:val="24"/>
                <w:szCs w:val="24"/>
                <w:vertAlign w:val="superscript"/>
                <w:rtl w:val="0"/>
              </w:rPr>
              <w:t xml:space="preserve">1,2</w:t>
            </w:r>
            <w:r w:rsidDel="00000000" w:rsidR="00000000" w:rsidRPr="00000000">
              <w:rPr>
                <w:rFonts w:ascii="Times New Roman" w:cs="Times New Roman" w:eastAsia="Times New Roman" w:hAnsi="Times New Roman"/>
                <w:color w:val="000000"/>
                <w:sz w:val="24"/>
                <w:szCs w:val="24"/>
                <w:rtl w:val="0"/>
              </w:rPr>
              <w:t xml:space="preserve"> немесе электрондық көшірме</w:t>
            </w:r>
          </w:p>
        </w:tc>
      </w:tr>
      <w:tr>
        <w:trPr>
          <w:cantSplit w:val="0"/>
          <w:trHeight w:val="20" w:hRule="atLeast"/>
          <w:tblHeader w:val="0"/>
        </w:trPr>
        <w:tc>
          <w:tcPr>
            <w:shd w:fill="auto" w:val="clear"/>
          </w:tcPr>
          <w:p w:rsidR="00000000" w:rsidDel="00000000" w:rsidP="00000000" w:rsidRDefault="00000000" w:rsidRPr="00000000" w14:paraId="00000050">
            <w:pPr>
              <w:tabs>
                <w:tab w:val="left" w:leader="none" w:pos="0"/>
                <w:tab w:val="left" w:leader="none" w:pos="34"/>
                <w:tab w:val="left" w:leader="none" w:pos="318"/>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shd w:fill="auto" w:val="clear"/>
          </w:tcPr>
          <w:p w:rsidR="00000000" w:rsidDel="00000000" w:rsidP="00000000" w:rsidRDefault="00000000" w:rsidRPr="00000000" w14:paraId="00000051">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Өтінішкерде мынадай шарттардың біреуіне немесе бірнешеуіне жауап беретін үлестес тұлғалар болса: </w:t>
            </w:r>
          </w:p>
          <w:p w:rsidR="00000000" w:rsidDel="00000000" w:rsidP="00000000" w:rsidRDefault="00000000" w:rsidRPr="00000000" w14:paraId="00000052">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екінші деңгейдегі банктерде және (немесе) өзге де қаржы институттарында міндеттемелері бар және Өтінішкердің міндеттемелері бойынша Кепіл беруші/Кепілгер/Кепілдеме беруші ретінде әрекет етеді; </w:t>
            </w:r>
          </w:p>
          <w:p w:rsidR="00000000" w:rsidDel="00000000" w:rsidP="00000000" w:rsidRDefault="00000000" w:rsidRPr="00000000" w14:paraId="00000053">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Өтінішкермен бірге едәуір фирмаішілік ақша ағындары бар (дебиторлық/кредиторлық берешектегі үлестің кемінде 10% алатын);</w:t>
            </w:r>
          </w:p>
          <w:p w:rsidR="00000000" w:rsidDel="00000000" w:rsidP="00000000" w:rsidRDefault="00000000" w:rsidRPr="00000000" w14:paraId="00000054">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Өтінішкермен бірге бір өндірістік процеске қатысады;</w:t>
            </w:r>
          </w:p>
          <w:p w:rsidR="00000000" w:rsidDel="00000000" w:rsidP="00000000" w:rsidRDefault="00000000" w:rsidRPr="00000000" w14:paraId="00000055">
            <w:pPr>
              <w:tabs>
                <w:tab w:val="left" w:leader="none" w:pos="367"/>
                <w:tab w:val="left" w:leader="none" w:pos="914"/>
              </w:tabs>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АӨК субъектілері болып және Қоғамның әрекеттегі қарыз алушылары болып табылады, </w:t>
            </w:r>
          </w:p>
          <w:p w:rsidR="00000000" w:rsidDel="00000000" w:rsidP="00000000" w:rsidRDefault="00000000" w:rsidRPr="00000000" w14:paraId="00000056">
            <w:pPr>
              <w:tabs>
                <w:tab w:val="left" w:leader="none" w:pos="367"/>
                <w:tab w:val="left" w:leader="none" w:pos="914"/>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компаниялар бойынша осы қосымшаның 1.3., 1.5. -тармақтарында белгіленген құжаттардың көшірмелері, сондай-ақ кредиттік бюроға келісімдер ұсынылады. </w:t>
            </w:r>
          </w:p>
        </w:tc>
        <w:tc>
          <w:tcPr>
            <w:shd w:fill="auto" w:val="clear"/>
          </w:tcPr>
          <w:p w:rsidR="00000000" w:rsidDel="00000000" w:rsidP="00000000" w:rsidRDefault="00000000" w:rsidRPr="00000000" w14:paraId="0000005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shd w:fill="auto" w:val="clear"/>
          </w:tcPr>
          <w:p w:rsidR="00000000" w:rsidDel="00000000" w:rsidP="00000000" w:rsidRDefault="00000000" w:rsidRPr="00000000" w14:paraId="00000058">
            <w:pPr>
              <w:tabs>
                <w:tab w:val="left" w:leader="none" w:pos="0"/>
                <w:tab w:val="left" w:leader="none" w:pos="34"/>
                <w:tab w:val="left" w:leader="none" w:pos="318"/>
              </w:tabs>
              <w:spacing w:after="0" w:line="240" w:lineRule="auto"/>
              <w:ind w:left="3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shd w:fill="auto" w:val="clear"/>
          </w:tcPr>
          <w:p w:rsidR="00000000" w:rsidDel="00000000" w:rsidP="00000000" w:rsidRDefault="00000000" w:rsidRPr="00000000" w14:paraId="00000059">
            <w:pPr>
              <w:spacing w:after="0" w:line="240" w:lineRule="auto"/>
              <w:ind w:left="63"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Қарыз алушының лицензияланатын қызметті жүзеге асыруы болған кезде:</w:t>
            </w:r>
          </w:p>
          <w:p w:rsidR="00000000" w:rsidDel="00000000" w:rsidP="00000000" w:rsidRDefault="00000000" w:rsidRPr="00000000" w14:paraId="0000005A">
            <w:pPr>
              <w:spacing w:after="0" w:line="240" w:lineRule="auto"/>
              <w:ind w:left="63"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уәкілетті мемлекеттік орган берген лицензия.</w:t>
            </w:r>
            <w:r w:rsidDel="00000000" w:rsidR="00000000" w:rsidRPr="00000000">
              <w:rPr>
                <w:rtl w:val="0"/>
              </w:rPr>
            </w:r>
          </w:p>
        </w:tc>
        <w:tc>
          <w:tcPr>
            <w:shd w:fill="auto" w:val="clear"/>
          </w:tcPr>
          <w:p w:rsidR="00000000" w:rsidDel="00000000" w:rsidP="00000000" w:rsidRDefault="00000000" w:rsidRPr="00000000" w14:paraId="0000005B">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 w:hRule="atLeast"/>
          <w:tblHeader w:val="0"/>
        </w:trPr>
        <w:tc>
          <w:tcPr>
            <w:gridSpan w:val="3"/>
            <w:tcBorders>
              <w:bottom w:color="000000" w:space="0" w:sz="4" w:val="single"/>
            </w:tcBorders>
            <w:shd w:fill="auto" w:val="clear"/>
          </w:tcPr>
          <w:p w:rsidR="00000000" w:rsidDel="00000000" w:rsidP="00000000" w:rsidRDefault="00000000" w:rsidRPr="00000000" w14:paraId="0000005C">
            <w:pPr>
              <w:tabs>
                <w:tab w:val="left" w:leader="none" w:pos="367"/>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Осы тізбеде көрсетілген тиісті құжаттардың көшірмелерін</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«Түпнұсқамен салыстырылып тексерілді. Көшірмесі дұрыс. кредит менеджерінің лауазымы көрсетіле отырып, Т.А.Ә. жазбаша жазылады, қолы.» деген жазу жазып, көшірмені куәландыруға тиіс жоба менеджері салыстырып тексеруге және растауға тиіс;</w:t>
            </w:r>
            <w:r w:rsidDel="00000000" w:rsidR="00000000" w:rsidRPr="00000000">
              <w:rPr>
                <w:rtl w:val="0"/>
              </w:rPr>
            </w:r>
          </w:p>
          <w:p w:rsidR="00000000" w:rsidDel="00000000" w:rsidP="00000000" w:rsidRDefault="00000000" w:rsidRPr="00000000" w14:paraId="0000005D">
            <w:pPr>
              <w:tabs>
                <w:tab w:val="left" w:leader="none" w:pos="367"/>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Оң қаралған жағдайда (мәмілені ресімдеу/жасасу сатысында) ұсынылған құжаттардың нотариалды куәландырылған көшірмелері талап етілуі мүмкін.</w:t>
            </w:r>
          </w:p>
        </w:tc>
      </w:tr>
      <w:tr>
        <w:trPr>
          <w:cantSplit w:val="0"/>
          <w:trHeight w:val="20" w:hRule="atLeast"/>
          <w:tblHeader w:val="0"/>
        </w:trPr>
        <w:tc>
          <w:tcPr>
            <w:gridSpan w:val="3"/>
            <w:tcBorders>
              <w:bottom w:color="000000" w:space="0" w:sz="4" w:val="single"/>
            </w:tcBorders>
            <w:shd w:fill="auto" w:val="clear"/>
          </w:tcPr>
          <w:p w:rsidR="00000000" w:rsidDel="00000000" w:rsidP="00000000" w:rsidRDefault="00000000" w:rsidRPr="00000000" w14:paraId="00000060">
            <w:pPr>
              <w:tabs>
                <w:tab w:val="left" w:leader="none" w:pos="367"/>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Назар аударыңыз! Өтінішкерлердің назарына:</w:t>
            </w:r>
          </w:p>
          <w:p w:rsidR="00000000" w:rsidDel="00000000" w:rsidP="00000000" w:rsidRDefault="00000000" w:rsidRPr="00000000" w14:paraId="00000061">
            <w:pPr>
              <w:tabs>
                <w:tab w:val="left" w:leader="none" w:pos="367"/>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Толық көлемде ұсынылмаған және талаптарға сәйкес келмейтін, күмәнді ақпаратты қамтитын, оның ішінде ұқыпсыз ресімделген (қол қойылмаған, мөрлерсіз және т. б.) құжаттар пакеті қарауға қабылданбайды.</w:t>
            </w:r>
          </w:p>
          <w:p w:rsidR="00000000" w:rsidDel="00000000" w:rsidP="00000000" w:rsidRDefault="00000000" w:rsidRPr="00000000" w14:paraId="00000062">
            <w:pPr>
              <w:tabs>
                <w:tab w:val="left" w:leader="none" w:pos="367"/>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Бұл құжаттар тізбесі түпкілікті болып табылмайды және, қажет болған жағдайда, «ҚазАгроҚаржы» АҚ Өтінішкердің кредит төлеу қабілеттілігін, құқықтық мәртебесін бағалау үшін қажетті қандай да бір қосымша құжаттарды сұратып алу құқығын өзіне қалдырады.</w:t>
            </w:r>
            <w:r w:rsidDel="00000000" w:rsidR="00000000" w:rsidRPr="00000000">
              <w:rPr>
                <w:rtl w:val="0"/>
              </w:rPr>
            </w:r>
          </w:p>
        </w:tc>
      </w:tr>
    </w:tbl>
    <w:p w:rsidR="00000000" w:rsidDel="00000000" w:rsidP="00000000" w:rsidRDefault="00000000" w:rsidRPr="00000000" w14:paraId="00000065">
      <w:pPr>
        <w:tabs>
          <w:tab w:val="left" w:leader="none" w:pos="1528"/>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8"/>
          <w:szCs w:val="28"/>
          <w:rtl w:val="0"/>
        </w:rPr>
        <w:tab/>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tabs>
          <w:tab w:val="left" w:leader="none" w:pos="1528"/>
        </w:tabs>
        <w:rPr>
          <w:rFonts w:ascii="Times New Roman" w:cs="Times New Roman" w:eastAsia="Times New Roman" w:hAnsi="Times New Roman"/>
          <w:sz w:val="28"/>
          <w:szCs w:val="28"/>
        </w:rPr>
      </w:pPr>
      <w:r w:rsidDel="00000000" w:rsidR="00000000" w:rsidRPr="00000000">
        <w:rPr>
          <w:rtl w:val="0"/>
        </w:rPr>
      </w:r>
    </w:p>
    <w:sectPr>
      <w:pgSz w:h="16838" w:w="11906" w:orient="portrait"/>
      <w:pgMar w:bottom="426" w:top="28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209" w:hanging="360"/>
      </w:pPr>
      <w:rPr>
        <w:rFonts w:ascii="Times New Roman" w:cs="Times New Roman" w:eastAsia="Times New Roman" w:hAnsi="Times New Roman"/>
      </w:rPr>
    </w:lvl>
    <w:lvl w:ilvl="1">
      <w:start w:val="1"/>
      <w:numFmt w:val="bullet"/>
      <w:lvlText w:val="o"/>
      <w:lvlJc w:val="left"/>
      <w:pPr>
        <w:ind w:left="1929" w:hanging="360"/>
      </w:pPr>
      <w:rPr>
        <w:rFonts w:ascii="Courier New" w:cs="Courier New" w:eastAsia="Courier New" w:hAnsi="Courier New"/>
      </w:rPr>
    </w:lvl>
    <w:lvl w:ilvl="2">
      <w:start w:val="1"/>
      <w:numFmt w:val="bullet"/>
      <w:lvlText w:val="▪"/>
      <w:lvlJc w:val="left"/>
      <w:pPr>
        <w:ind w:left="2649" w:hanging="360"/>
      </w:pPr>
      <w:rPr>
        <w:rFonts w:ascii="Noto Sans Symbols" w:cs="Noto Sans Symbols" w:eastAsia="Noto Sans Symbols" w:hAnsi="Noto Sans Symbols"/>
      </w:rPr>
    </w:lvl>
    <w:lvl w:ilvl="3">
      <w:start w:val="1"/>
      <w:numFmt w:val="bullet"/>
      <w:lvlText w:val="●"/>
      <w:lvlJc w:val="left"/>
      <w:pPr>
        <w:ind w:left="3369" w:hanging="360"/>
      </w:pPr>
      <w:rPr>
        <w:rFonts w:ascii="Noto Sans Symbols" w:cs="Noto Sans Symbols" w:eastAsia="Noto Sans Symbols" w:hAnsi="Noto Sans Symbols"/>
      </w:rPr>
    </w:lvl>
    <w:lvl w:ilvl="4">
      <w:start w:val="1"/>
      <w:numFmt w:val="bullet"/>
      <w:lvlText w:val="o"/>
      <w:lvlJc w:val="left"/>
      <w:pPr>
        <w:ind w:left="4089" w:hanging="360"/>
      </w:pPr>
      <w:rPr>
        <w:rFonts w:ascii="Courier New" w:cs="Courier New" w:eastAsia="Courier New" w:hAnsi="Courier New"/>
      </w:rPr>
    </w:lvl>
    <w:lvl w:ilvl="5">
      <w:start w:val="1"/>
      <w:numFmt w:val="bullet"/>
      <w:lvlText w:val="▪"/>
      <w:lvlJc w:val="left"/>
      <w:pPr>
        <w:ind w:left="4809" w:hanging="360"/>
      </w:pPr>
      <w:rPr>
        <w:rFonts w:ascii="Noto Sans Symbols" w:cs="Noto Sans Symbols" w:eastAsia="Noto Sans Symbols" w:hAnsi="Noto Sans Symbols"/>
      </w:rPr>
    </w:lvl>
    <w:lvl w:ilvl="6">
      <w:start w:val="1"/>
      <w:numFmt w:val="bullet"/>
      <w:lvlText w:val="●"/>
      <w:lvlJc w:val="left"/>
      <w:pPr>
        <w:ind w:left="5529" w:hanging="360"/>
      </w:pPr>
      <w:rPr>
        <w:rFonts w:ascii="Noto Sans Symbols" w:cs="Noto Sans Symbols" w:eastAsia="Noto Sans Symbols" w:hAnsi="Noto Sans Symbols"/>
      </w:rPr>
    </w:lvl>
    <w:lvl w:ilvl="7">
      <w:start w:val="1"/>
      <w:numFmt w:val="bullet"/>
      <w:lvlText w:val="o"/>
      <w:lvlJc w:val="left"/>
      <w:pPr>
        <w:ind w:left="6249" w:hanging="360"/>
      </w:pPr>
      <w:rPr>
        <w:rFonts w:ascii="Courier New" w:cs="Courier New" w:eastAsia="Courier New" w:hAnsi="Courier New"/>
      </w:rPr>
    </w:lvl>
    <w:lvl w:ilvl="8">
      <w:start w:val="1"/>
      <w:numFmt w:val="bullet"/>
      <w:lvlText w:val="▪"/>
      <w:lvlJc w:val="left"/>
      <w:pPr>
        <w:ind w:left="6969"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6909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FF0D18"/>
    <w:pPr>
      <w:ind w:left="720"/>
      <w:contextualSpacing w:val="1"/>
    </w:pPr>
  </w:style>
  <w:style w:type="paragraph" w:styleId="a5">
    <w:name w:val="header"/>
    <w:basedOn w:val="a"/>
    <w:link w:val="a6"/>
    <w:uiPriority w:val="99"/>
    <w:unhideWhenUsed w:val="1"/>
    <w:rsid w:val="00AA1D9F"/>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AA1D9F"/>
  </w:style>
  <w:style w:type="paragraph" w:styleId="a7">
    <w:name w:val="footer"/>
    <w:basedOn w:val="a"/>
    <w:link w:val="a8"/>
    <w:uiPriority w:val="99"/>
    <w:unhideWhenUsed w:val="1"/>
    <w:rsid w:val="00AA1D9F"/>
    <w:pPr>
      <w:tabs>
        <w:tab w:val="center" w:pos="4677"/>
        <w:tab w:val="right" w:pos="9355"/>
      </w:tabs>
      <w:spacing w:after="0" w:line="240" w:lineRule="auto"/>
    </w:pPr>
  </w:style>
  <w:style w:type="character" w:styleId="a8" w:customStyle="1">
    <w:name w:val="Нижний колонтитул Знак"/>
    <w:basedOn w:val="a0"/>
    <w:link w:val="a7"/>
    <w:uiPriority w:val="99"/>
    <w:rsid w:val="00AA1D9F"/>
  </w:style>
  <w:style w:type="character" w:styleId="a9">
    <w:name w:val="annotation reference"/>
    <w:basedOn w:val="a0"/>
    <w:uiPriority w:val="99"/>
    <w:semiHidden w:val="1"/>
    <w:unhideWhenUsed w:val="1"/>
    <w:rsid w:val="00E75D02"/>
    <w:rPr>
      <w:sz w:val="16"/>
      <w:szCs w:val="16"/>
    </w:rPr>
  </w:style>
  <w:style w:type="paragraph" w:styleId="aa">
    <w:name w:val="annotation text"/>
    <w:basedOn w:val="a"/>
    <w:link w:val="ab"/>
    <w:uiPriority w:val="99"/>
    <w:semiHidden w:val="1"/>
    <w:unhideWhenUsed w:val="1"/>
    <w:rsid w:val="00E75D02"/>
    <w:pPr>
      <w:spacing w:line="240" w:lineRule="auto"/>
    </w:pPr>
    <w:rPr>
      <w:sz w:val="20"/>
      <w:szCs w:val="20"/>
    </w:rPr>
  </w:style>
  <w:style w:type="character" w:styleId="ab" w:customStyle="1">
    <w:name w:val="Текст примечания Знак"/>
    <w:basedOn w:val="a0"/>
    <w:link w:val="aa"/>
    <w:uiPriority w:val="99"/>
    <w:semiHidden w:val="1"/>
    <w:rsid w:val="00E75D02"/>
    <w:rPr>
      <w:sz w:val="20"/>
      <w:szCs w:val="20"/>
    </w:rPr>
  </w:style>
  <w:style w:type="paragraph" w:styleId="ac">
    <w:name w:val="annotation subject"/>
    <w:basedOn w:val="aa"/>
    <w:next w:val="aa"/>
    <w:link w:val="ad"/>
    <w:uiPriority w:val="99"/>
    <w:semiHidden w:val="1"/>
    <w:unhideWhenUsed w:val="1"/>
    <w:rsid w:val="00E75D02"/>
    <w:rPr>
      <w:b w:val="1"/>
      <w:bCs w:val="1"/>
    </w:rPr>
  </w:style>
  <w:style w:type="character" w:styleId="ad" w:customStyle="1">
    <w:name w:val="Тема примечания Знак"/>
    <w:basedOn w:val="ab"/>
    <w:link w:val="ac"/>
    <w:uiPriority w:val="99"/>
    <w:semiHidden w:val="1"/>
    <w:rsid w:val="00E75D02"/>
    <w:rPr>
      <w:b w:val="1"/>
      <w:bCs w:val="1"/>
      <w:sz w:val="20"/>
      <w:szCs w:val="20"/>
    </w:rPr>
  </w:style>
  <w:style w:type="paragraph" w:styleId="ae">
    <w:name w:val="Balloon Text"/>
    <w:basedOn w:val="a"/>
    <w:link w:val="af"/>
    <w:uiPriority w:val="99"/>
    <w:semiHidden w:val="1"/>
    <w:unhideWhenUsed w:val="1"/>
    <w:rsid w:val="00E75D02"/>
    <w:pPr>
      <w:spacing w:after="0" w:line="240" w:lineRule="auto"/>
    </w:pPr>
    <w:rPr>
      <w:rFonts w:ascii="Tahoma" w:cs="Tahoma" w:hAnsi="Tahoma"/>
      <w:sz w:val="16"/>
      <w:szCs w:val="16"/>
    </w:rPr>
  </w:style>
  <w:style w:type="character" w:styleId="af" w:customStyle="1">
    <w:name w:val="Текст выноски Знак"/>
    <w:basedOn w:val="a0"/>
    <w:link w:val="ae"/>
    <w:uiPriority w:val="99"/>
    <w:semiHidden w:val="1"/>
    <w:rsid w:val="00E75D02"/>
    <w:rPr>
      <w:rFonts w:ascii="Tahoma" w:cs="Tahoma" w:hAnsi="Tahoma"/>
      <w:sz w:val="16"/>
      <w:szCs w:val="16"/>
    </w:rPr>
  </w:style>
  <w:style w:type="paragraph" w:styleId="af0">
    <w:name w:val="Normal (Web)"/>
    <w:basedOn w:val="a"/>
    <w:uiPriority w:val="99"/>
    <w:unhideWhenUsed w:val="1"/>
    <w:rsid w:val="003C7BFB"/>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s0" w:customStyle="1">
    <w:name w:val="s0"/>
    <w:basedOn w:val="a0"/>
    <w:rsid w:val="00B722BE"/>
    <w:rPr>
      <w:rFonts w:ascii="Times New Roman" w:cs="Times New Roman" w:hAnsi="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val="1"/>
    <w:unhideWhenUsed w:val="1"/>
    <w:rsid w:val="00C25847"/>
    <w:rPr>
      <w:color w:val="000080"/>
      <w:u w:val="single"/>
    </w:rPr>
  </w:style>
  <w:style w:type="character" w:styleId="s3" w:customStyle="1">
    <w:name w:val="s3"/>
    <w:basedOn w:val="a0"/>
    <w:rsid w:val="00C25847"/>
    <w:rPr>
      <w:rFonts w:ascii="Times New Roman" w:cs="Times New Roman" w:hAnsi="Times New Roman" w:hint="default"/>
      <w:i w:val="1"/>
      <w:iCs w:val="1"/>
      <w:vanish w:val="1"/>
      <w:webHidden w:val="0"/>
      <w:color w:val="ff0000"/>
      <w:specVanish w:val="0"/>
    </w:rPr>
  </w:style>
  <w:style w:type="character" w:styleId="s9" w:customStyle="1">
    <w:name w:val="s9"/>
    <w:basedOn w:val="a0"/>
    <w:rsid w:val="00C25847"/>
    <w:rPr>
      <w:rFonts w:ascii="Times New Roman" w:cs="Times New Roman" w:hAnsi="Times New Roman" w:hint="default"/>
      <w:i w:val="1"/>
      <w:iCs w:val="1"/>
      <w:vanish w:val="1"/>
      <w:webHidden w:val="0"/>
      <w:color w:val="333399"/>
      <w:u w:val="single"/>
      <w:bdr w:color="auto" w:frame="1" w:space="0" w:sz="0" w:val="none"/>
      <w:specVanish w:val="0"/>
    </w:rPr>
  </w:style>
  <w:style w:type="paragraph" w:styleId="af2">
    <w:name w:val="No Spacing"/>
    <w:uiPriority w:val="1"/>
    <w:qFormat w:val="1"/>
    <w:rsid w:val="00F77406"/>
    <w:pPr>
      <w:spacing w:after="0" w:line="240" w:lineRule="auto"/>
    </w:pPr>
  </w:style>
  <w:style w:type="paragraph" w:styleId="af3">
    <w:name w:val="footnote text"/>
    <w:basedOn w:val="a"/>
    <w:link w:val="af4"/>
    <w:uiPriority w:val="99"/>
    <w:semiHidden w:val="1"/>
    <w:unhideWhenUsed w:val="1"/>
    <w:rsid w:val="007D4F79"/>
    <w:pPr>
      <w:spacing w:after="0" w:line="240" w:lineRule="auto"/>
    </w:pPr>
    <w:rPr>
      <w:sz w:val="20"/>
      <w:szCs w:val="20"/>
    </w:rPr>
  </w:style>
  <w:style w:type="character" w:styleId="af4" w:customStyle="1">
    <w:name w:val="Текст сноски Знак"/>
    <w:basedOn w:val="a0"/>
    <w:link w:val="af3"/>
    <w:uiPriority w:val="99"/>
    <w:semiHidden w:val="1"/>
    <w:rsid w:val="007D4F79"/>
    <w:rPr>
      <w:sz w:val="20"/>
      <w:szCs w:val="20"/>
    </w:rPr>
  </w:style>
  <w:style w:type="character" w:styleId="af5">
    <w:name w:val="footnote reference"/>
    <w:basedOn w:val="a0"/>
    <w:uiPriority w:val="99"/>
    <w:semiHidden w:val="1"/>
    <w:unhideWhenUsed w:val="1"/>
    <w:rsid w:val="007D4F79"/>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Ivu25t4Uzi64oJ1c/WYLk5Mcw==">CgMxLjAyCGguZ2pkZ3hzOAByITFXNGhZWk8yN09RM1ZQdkpqXzIxVTc0QU54X2tTckZtTg==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2020-05-27T05:19:00Z</dcterms:created>
  <dc:creator>Акмарал Дуйсенбиева</dc:creator>
</cp:coreProperties>
</file>